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E729F">
      <w:pPr>
        <w:spacing w:line="322" w:lineRule="auto"/>
        <w:rPr>
          <w:rFonts w:ascii="黑体" w:hAnsi="黑体" w:eastAsia="黑体" w:cs="黑体"/>
          <w:color w:val="0000FF"/>
          <w:spacing w:val="1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ICS 75.060</w:t>
      </w:r>
    </w:p>
    <w:p w14:paraId="461023F7">
      <w:pPr>
        <w:spacing w:line="322" w:lineRule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D 4511</w:t>
      </w:r>
    </w:p>
    <w:p w14:paraId="74408B47">
      <w:pPr>
        <w:pStyle w:val="7"/>
        <w:spacing w:line="287" w:lineRule="auto"/>
        <w:rPr>
          <w:rFonts w:ascii="宋体" w:hAnsi="宋体" w:eastAsia="宋体" w:cs="宋体"/>
          <w:lang w:eastAsia="zh-CN"/>
        </w:rPr>
      </w:pPr>
    </w:p>
    <w:p w14:paraId="6B2C06BF">
      <w:pPr>
        <w:pStyle w:val="7"/>
        <w:spacing w:line="288" w:lineRule="auto"/>
        <w:rPr>
          <w:rFonts w:ascii="宋体" w:hAnsi="宋体" w:eastAsia="宋体" w:cs="宋体"/>
          <w:lang w:eastAsia="zh-CN"/>
        </w:rPr>
      </w:pPr>
    </w:p>
    <w:p w14:paraId="36BBB9CA">
      <w:pPr>
        <w:pStyle w:val="7"/>
        <w:spacing w:after="510" w:line="240" w:lineRule="auto"/>
        <w:jc w:val="center"/>
        <w:rPr>
          <w:rFonts w:ascii="宋体" w:hAnsi="宋体" w:eastAsia="宋体" w:cs="宋体"/>
        </w:rPr>
      </w:pPr>
      <w:bookmarkStart w:id="0" w:name="_Toc19183"/>
      <w:bookmarkStart w:id="1" w:name="_Toc3832"/>
      <w:bookmarkStart w:id="2" w:name="_Toc21596"/>
      <w:bookmarkStart w:id="3" w:name="_Toc1831"/>
      <w:bookmarkStart w:id="4" w:name="_Toc29875"/>
      <w:bookmarkStart w:id="5" w:name="_Toc32360"/>
      <w:r>
        <w:rPr>
          <w:rFonts w:hint="eastAsia" w:ascii="宋体" w:hAnsi="宋体" w:eastAsia="宋体" w:cs="宋体"/>
          <w:b/>
          <w:bCs/>
          <w:spacing w:val="-21"/>
          <w:sz w:val="52"/>
          <w:szCs w:val="52"/>
          <w:lang w:eastAsia="zh-CN"/>
        </w:rPr>
        <w:t>陕西省液化天然气产业协会</w:t>
      </w:r>
      <w:bookmarkEnd w:id="0"/>
      <w:r>
        <w:rPr>
          <w:rFonts w:hint="eastAsia" w:ascii="宋体" w:hAnsi="宋体" w:eastAsia="宋体" w:cs="宋体"/>
          <w:b/>
          <w:bCs/>
          <w:spacing w:val="-21"/>
          <w:sz w:val="52"/>
          <w:szCs w:val="52"/>
          <w:lang w:val="en-US" w:eastAsia="zh-CN"/>
        </w:rPr>
        <w:t>团体标准</w:t>
      </w:r>
      <w:bookmarkEnd w:id="1"/>
      <w:bookmarkEnd w:id="2"/>
      <w:bookmarkEnd w:id="3"/>
      <w:bookmarkEnd w:id="4"/>
      <w:bookmarkEnd w:id="5"/>
    </w:p>
    <w:p w14:paraId="5AD35A11">
      <w:pPr>
        <w:spacing w:before="91" w:line="186" w:lineRule="auto"/>
        <w:jc w:val="right"/>
        <w:outlineLvl w:val="0"/>
        <w:rPr>
          <w:rFonts w:ascii="黑体" w:hAnsi="黑体" w:eastAsia="黑体" w:cs="黑体"/>
        </w:rPr>
      </w:pPr>
      <w:bookmarkStart w:id="6" w:name="_Toc16797"/>
      <w:bookmarkStart w:id="7" w:name="_Toc2597"/>
      <w:bookmarkStart w:id="8" w:name="_Toc29299"/>
      <w:bookmarkStart w:id="9" w:name="_Toc30958"/>
      <w:bookmarkStart w:id="10" w:name="_Toc8137"/>
      <w:bookmarkStart w:id="11" w:name="_Toc32695"/>
      <w:r>
        <w:rPr>
          <w:rFonts w:hint="eastAsia" w:ascii="黑体" w:hAnsi="黑体" w:eastAsia="黑体" w:cs="黑体"/>
          <w:spacing w:val="-1"/>
          <w:sz w:val="28"/>
          <w:szCs w:val="28"/>
        </w:rPr>
        <w:t>T/</w:t>
      </w:r>
      <w:r>
        <w:rPr>
          <w:rFonts w:hint="eastAsia" w:ascii="黑体" w:hAnsi="黑体" w:eastAsia="黑体" w:cs="黑体"/>
          <w:spacing w:val="-1"/>
          <w:sz w:val="28"/>
          <w:szCs w:val="28"/>
          <w:lang w:eastAsia="zh-CN"/>
        </w:rPr>
        <w:t xml:space="preserve">SLIA </w:t>
      </w:r>
      <w:r>
        <w:rPr>
          <w:rFonts w:hint="eastAsia" w:ascii="黑体" w:hAnsi="黑体" w:eastAsia="黑体" w:cs="黑体"/>
          <w:spacing w:val="-1"/>
          <w:sz w:val="28"/>
          <w:szCs w:val="28"/>
        </w:rPr>
        <w:t>0</w:t>
      </w:r>
      <w:r>
        <w:rPr>
          <w:rFonts w:hint="eastAsia" w:ascii="黑体" w:hAnsi="黑体" w:eastAsia="黑体" w:cs="黑体"/>
          <w:spacing w:val="-1"/>
          <w:sz w:val="28"/>
          <w:szCs w:val="28"/>
          <w:lang w:eastAsia="zh-CN"/>
        </w:rPr>
        <w:t>01</w:t>
      </w:r>
      <w:r>
        <w:rPr>
          <w:rFonts w:hint="eastAsia" w:ascii="黑体" w:hAnsi="黑体" w:eastAsia="黑体" w:cs="黑体"/>
          <w:spacing w:val="-1"/>
          <w:sz w:val="28"/>
          <w:szCs w:val="28"/>
        </w:rPr>
        <w:t>—202</w:t>
      </w:r>
      <w:bookmarkEnd w:id="6"/>
      <w:bookmarkEnd w:id="7"/>
      <w:bookmarkEnd w:id="8"/>
      <w:bookmarkEnd w:id="9"/>
      <w:bookmarkEnd w:id="10"/>
      <w:r>
        <w:rPr>
          <w:rFonts w:hint="eastAsia" w:ascii="黑体" w:hAnsi="黑体" w:eastAsia="黑体" w:cs="黑体"/>
          <w:spacing w:val="-1"/>
          <w:sz w:val="28"/>
          <w:szCs w:val="28"/>
          <w:lang w:eastAsia="zh-CN"/>
        </w:rPr>
        <w:t>5</w:t>
      </w:r>
      <w:bookmarkEnd w:id="11"/>
    </w:p>
    <w:p w14:paraId="7933164A">
      <w:pPr>
        <w:pStyle w:val="7"/>
        <w:spacing w:line="288" w:lineRule="auto"/>
        <w:rPr>
          <w:rFonts w:ascii="宋体" w:hAnsi="宋体" w:eastAsia="宋体" w:cs="宋体"/>
        </w:rPr>
      </w:pPr>
    </w:p>
    <w:p w14:paraId="37EB061A">
      <w:pPr>
        <w:spacing w:line="32" w:lineRule="exac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0" distR="0">
            <wp:extent cx="6132195" cy="36195"/>
            <wp:effectExtent l="0" t="0" r="1905" b="1905"/>
            <wp:docPr id="1026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 2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2195" cy="3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D89B">
      <w:pPr>
        <w:pStyle w:val="7"/>
        <w:spacing w:line="260" w:lineRule="auto"/>
        <w:rPr>
          <w:rFonts w:ascii="宋体" w:hAnsi="宋体" w:eastAsia="宋体" w:cs="宋体"/>
        </w:rPr>
      </w:pPr>
    </w:p>
    <w:p w14:paraId="6393399D">
      <w:pPr>
        <w:pStyle w:val="7"/>
        <w:spacing w:before="2268"/>
        <w:jc w:val="center"/>
        <w:outlineLvl w:val="0"/>
        <w:rPr>
          <w:rFonts w:ascii="黑体" w:hAnsi="黑体" w:eastAsia="黑体" w:cs="黑体"/>
          <w:sz w:val="52"/>
          <w:szCs w:val="52"/>
          <w:lang w:eastAsia="zh-CN"/>
        </w:rPr>
      </w:pPr>
      <w:bookmarkStart w:id="12" w:name="_Toc8853"/>
      <w:bookmarkStart w:id="13" w:name="_Toc13625"/>
      <w:bookmarkStart w:id="14" w:name="_Toc7150"/>
      <w:bookmarkStart w:id="15" w:name="_Toc28525"/>
      <w:bookmarkStart w:id="16" w:name="_Toc14910"/>
      <w:bookmarkStart w:id="17" w:name="_Toc13958"/>
      <w:bookmarkStart w:id="18" w:name="_Toc12023"/>
      <w:r>
        <w:rPr>
          <w:rFonts w:hint="eastAsia" w:ascii="黑体" w:hAnsi="黑体" w:eastAsia="黑体" w:cs="黑体"/>
          <w:sz w:val="52"/>
          <w:szCs w:val="52"/>
          <w:lang w:eastAsia="zh-CN"/>
        </w:rPr>
        <w:t>天然气液化工厂安全检查导则</w:t>
      </w:r>
      <w:bookmarkEnd w:id="12"/>
      <w:bookmarkEnd w:id="13"/>
      <w:bookmarkEnd w:id="14"/>
      <w:bookmarkEnd w:id="15"/>
      <w:bookmarkEnd w:id="16"/>
      <w:bookmarkEnd w:id="17"/>
      <w:bookmarkEnd w:id="18"/>
    </w:p>
    <w:p w14:paraId="22162683">
      <w:pPr>
        <w:pStyle w:val="7"/>
        <w:spacing w:line="290" w:lineRule="auto"/>
        <w:rPr>
          <w:rFonts w:ascii="宋体" w:hAnsi="宋体" w:eastAsia="宋体" w:cs="宋体"/>
          <w:lang w:eastAsia="zh-CN"/>
        </w:rPr>
      </w:pPr>
    </w:p>
    <w:p w14:paraId="46D02756">
      <w:pPr>
        <w:pStyle w:val="7"/>
        <w:spacing w:line="444" w:lineRule="auto"/>
        <w:jc w:val="center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Guidelines for Safety Inspection of Natural Gas Liquefaction Plants</w:t>
      </w:r>
    </w:p>
    <w:p w14:paraId="3A81ED7A">
      <w:pPr>
        <w:pStyle w:val="7"/>
        <w:spacing w:line="444" w:lineRule="auto"/>
        <w:jc w:val="center"/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19" w:name="_Toc26375"/>
      <w:r>
        <w:rPr>
          <w:rFonts w:hint="eastAsia" w:ascii="黑体" w:hAnsi="黑体" w:eastAsia="黑体" w:cs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征求意见稿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）</w:t>
      </w:r>
      <w:bookmarkEnd w:id="19"/>
    </w:p>
    <w:p w14:paraId="258035FE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42A40E7D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2ACCBA9C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0B1FCD6A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5E180DB5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5BD2CD6A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2CD1A129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012072E5">
      <w:pPr>
        <w:pStyle w:val="7"/>
        <w:spacing w:line="242" w:lineRule="auto"/>
        <w:rPr>
          <w:rFonts w:ascii="宋体" w:hAnsi="宋体" w:eastAsia="宋体" w:cs="宋体"/>
          <w:lang w:eastAsia="zh-CN"/>
        </w:rPr>
      </w:pPr>
    </w:p>
    <w:p w14:paraId="54E47C3A">
      <w:pPr>
        <w:pStyle w:val="7"/>
        <w:spacing w:line="243" w:lineRule="auto"/>
        <w:rPr>
          <w:rFonts w:ascii="宋体" w:hAnsi="宋体" w:eastAsia="宋体" w:cs="宋体"/>
          <w:lang w:eastAsia="zh-CN"/>
        </w:rPr>
      </w:pPr>
    </w:p>
    <w:p w14:paraId="5C7EB062">
      <w:pPr>
        <w:pStyle w:val="7"/>
        <w:spacing w:line="243" w:lineRule="auto"/>
        <w:rPr>
          <w:rFonts w:ascii="宋体" w:hAnsi="宋体" w:eastAsia="宋体" w:cs="宋体"/>
          <w:lang w:eastAsia="zh-CN"/>
        </w:rPr>
      </w:pPr>
    </w:p>
    <w:p w14:paraId="034199D0">
      <w:pPr>
        <w:pStyle w:val="7"/>
        <w:spacing w:line="243" w:lineRule="auto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 xml:space="preserve"> </w:t>
      </w:r>
    </w:p>
    <w:p w14:paraId="06B67DDC">
      <w:pPr>
        <w:autoSpaceDE/>
        <w:autoSpaceDN/>
        <w:spacing w:before="0" w:after="2268" w:line="224" w:lineRule="auto"/>
        <w:ind w:left="0"/>
        <w:rPr>
          <w:rFonts w:ascii="黑体" w:hAnsi="黑体" w:eastAsia="黑体" w:cs="黑体"/>
          <w:sz w:val="28"/>
          <w:szCs w:val="28"/>
          <w:lang w:eastAsia="zh-CN"/>
        </w:rPr>
      </w:pPr>
      <w:r>
        <w:rPr>
          <w:sz w:val="32"/>
          <w:lang w:eastAsia="zh-CN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804545</wp:posOffset>
                </wp:positionV>
                <wp:extent cx="4020820" cy="887095"/>
                <wp:effectExtent l="0" t="0" r="17780" b="8255"/>
                <wp:wrapNone/>
                <wp:docPr id="1027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0820" cy="887095"/>
                          <a:chOff x="4504" y="15677"/>
                          <a:chExt cx="6332" cy="1397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4504" y="15677"/>
                            <a:ext cx="4345" cy="1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8E50749">
                              <w:pPr>
                                <w:spacing w:line="288" w:lineRule="auto"/>
                                <w:jc w:val="distribute"/>
                                <w:rPr>
                                  <w:rFonts w:ascii="黑体" w:hAnsi="黑体" w:eastAsia="黑体" w:cs="黑体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8"/>
                                  <w:szCs w:val="28"/>
                                  <w:lang w:eastAsia="zh-CN"/>
                                </w:rPr>
                                <w:t>陕西省液化天然气产业协会</w:t>
                              </w:r>
                            </w:p>
                            <w:p w14:paraId="355568D7">
                              <w:pPr>
                                <w:pStyle w:val="17"/>
                                <w:spacing w:after="0" w:line="288" w:lineRule="auto"/>
                                <w:ind w:left="0" w:leftChars="0" w:firstLine="0"/>
                                <w:jc w:val="distribute"/>
                                <w:rPr>
                                  <w:rFonts w:ascii="黑体" w:hAnsi="黑体" w:eastAsia="黑体" w:cs="黑体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8"/>
                                  <w:szCs w:val="28"/>
                                  <w:lang w:eastAsia="zh-CN"/>
                                </w:rPr>
                                <w:t>陕西省应急管理与安全生产协会</w:t>
                              </w:r>
                            </w:p>
                            <w:p w14:paraId="28A3DA79">
                              <w:pPr>
                                <w:pStyle w:val="17"/>
                                <w:spacing w:after="0" w:line="288" w:lineRule="auto"/>
                                <w:ind w:left="0" w:leftChars="0" w:firstLine="0"/>
                                <w:jc w:val="distribute"/>
                                <w:rPr>
                                  <w:rFonts w:ascii="黑体" w:hAnsi="黑体" w:eastAsia="黑体" w:cs="黑体"/>
                                  <w:spacing w:val="-6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pacing w:val="-6"/>
                                  <w:sz w:val="28"/>
                                  <w:szCs w:val="28"/>
                                  <w:lang w:eastAsia="zh-CN"/>
                                </w:rPr>
                                <w:t>陕西省工业经济联合会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9126" y="16009"/>
                            <a:ext cx="1710" cy="8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FDD3B1F">
                              <w:pPr>
                                <w:pStyle w:val="17"/>
                                <w:spacing w:after="0" w:line="288" w:lineRule="auto"/>
                                <w:ind w:left="0" w:leftChars="0" w:firstLine="0"/>
                                <w:jc w:val="distribute"/>
                                <w:rPr>
                                  <w:rFonts w:ascii="黑体" w:hAnsi="黑体" w:eastAsia="黑体" w:cs="黑体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8"/>
                                  <w:szCs w:val="28"/>
                                  <w:lang w:eastAsia="zh-CN"/>
                                </w:rPr>
                                <w:t>联合发布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68.55pt;margin-top:63.35pt;height:69.85pt;width:316.6pt;z-index:251659264;mso-width-relative:page;mso-height-relative:page;" coordorigin="4504,15677" coordsize="6332,1397" o:gfxdata="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1JQ3Hb&#10;AAAACwEAAA8AAAAAAAAAAQAgAAAAIgAAAGRycy9kb3ducmV2LnhtbFBLAQIUABQAAAAIAIdO4kA4&#10;R05HjwIAAP8GAAAOAAAAAAAAAAEAIAAAACoBAABkcnMvZTJvRG9jLnhtbFBLBQYAAAAABgAGAFkB&#10;AAArBgAAAAA=&#10;">
                <o:lock v:ext="edit" aspectratio="f"/>
                <v:rect id="_x0000_s1026" o:spid="_x0000_s1026" o:spt="1" style="position:absolute;left:4504;top:15677;height:1397;width:4345;v-text-anchor:middle;" fillcolor="#FFFFFF" filled="t" stroked="f" coordsize="21600,21600" o:gfxdata="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lcozi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68E50749">
                        <w:pPr>
                          <w:spacing w:line="288" w:lineRule="auto"/>
                          <w:jc w:val="distribute"/>
                          <w:rPr>
                            <w:rFonts w:ascii="黑体" w:hAnsi="黑体" w:eastAsia="黑体" w:cs="黑体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8"/>
                            <w:szCs w:val="28"/>
                            <w:lang w:eastAsia="zh-CN"/>
                          </w:rPr>
                          <w:t>陕西省液化天然气产业协会</w:t>
                        </w:r>
                      </w:p>
                      <w:p w14:paraId="355568D7">
                        <w:pPr>
                          <w:pStyle w:val="17"/>
                          <w:spacing w:after="0" w:line="288" w:lineRule="auto"/>
                          <w:ind w:left="0" w:leftChars="0" w:firstLine="0"/>
                          <w:jc w:val="distribute"/>
                          <w:rPr>
                            <w:rFonts w:ascii="黑体" w:hAnsi="黑体" w:eastAsia="黑体" w:cs="黑体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8"/>
                            <w:szCs w:val="28"/>
                            <w:lang w:eastAsia="zh-CN"/>
                          </w:rPr>
                          <w:t>陕西省应急管理与安全生产协会</w:t>
                        </w:r>
                      </w:p>
                      <w:p w14:paraId="28A3DA79">
                        <w:pPr>
                          <w:pStyle w:val="17"/>
                          <w:spacing w:after="0" w:line="288" w:lineRule="auto"/>
                          <w:ind w:left="0" w:leftChars="0" w:firstLine="0"/>
                          <w:jc w:val="distribute"/>
                          <w:rPr>
                            <w:rFonts w:ascii="黑体" w:hAnsi="黑体" w:eastAsia="黑体" w:cs="黑体"/>
                            <w:spacing w:val="-6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pacing w:val="-6"/>
                            <w:sz w:val="28"/>
                            <w:szCs w:val="28"/>
                            <w:lang w:eastAsia="zh-CN"/>
                          </w:rPr>
                          <w:t>陕西省工业经济联合会</w:t>
                        </w:r>
                      </w:p>
                    </w:txbxContent>
                  </v:textbox>
                </v:rect>
                <v:rect id="_x0000_s1026" o:spid="_x0000_s1026" o:spt="1" style="position:absolute;left:9126;top:16009;height:806;width:1710;v-text-anchor:middle;" fillcolor="#FFFFFF" filled="t" stroked="f" coordsize="21600,21600" o:gfxdata="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jj1PugAAANo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0FDD3B1F">
                        <w:pPr>
                          <w:pStyle w:val="17"/>
                          <w:spacing w:after="0" w:line="288" w:lineRule="auto"/>
                          <w:ind w:left="0" w:leftChars="0" w:firstLine="0"/>
                          <w:jc w:val="distribute"/>
                          <w:rPr>
                            <w:rFonts w:ascii="黑体" w:hAnsi="黑体" w:eastAsia="黑体" w:cs="黑体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8"/>
                            <w:szCs w:val="28"/>
                            <w:lang w:eastAsia="zh-CN"/>
                          </w:rPr>
                          <w:t>联合发布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 w:ascii="宋体" w:hAnsi="宋体" w:eastAsia="宋体" w:cs="宋体"/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319405</wp:posOffset>
            </wp:positionV>
            <wp:extent cx="6018530" cy="9525"/>
            <wp:effectExtent l="0" t="0" r="0" b="0"/>
            <wp:wrapNone/>
            <wp:docPr id="1030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 4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2025-0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 xml:space="preserve">-01发布                                    </w:t>
      </w:r>
      <w:r>
        <w:rPr>
          <w:rFonts w:hint="eastAsia" w:ascii="黑体" w:hAnsi="黑体" w:eastAsia="黑体" w:cs="黑体"/>
          <w:spacing w:val="-1"/>
          <w:sz w:val="28"/>
          <w:szCs w:val="28"/>
          <w:lang w:eastAsia="zh-CN"/>
        </w:rPr>
        <w:t>2025-</w:t>
      </w:r>
      <w:r>
        <w:rPr>
          <w:rFonts w:hint="eastAsia" w:ascii="黑体" w:hAnsi="黑体" w:eastAsia="黑体" w:cs="黑体"/>
          <w:spacing w:val="-1"/>
          <w:sz w:val="28"/>
          <w:szCs w:val="28"/>
          <w:lang w:val="en-US" w:eastAsia="zh-CN"/>
        </w:rPr>
        <w:t>11</w:t>
      </w:r>
      <w:r>
        <w:rPr>
          <w:rFonts w:hint="eastAsia" w:ascii="黑体" w:hAnsi="黑体" w:eastAsia="黑体" w:cs="黑体"/>
          <w:spacing w:val="-1"/>
          <w:sz w:val="28"/>
          <w:szCs w:val="28"/>
          <w:lang w:eastAsia="zh-CN"/>
        </w:rPr>
        <w:t>-01实施</w:t>
      </w:r>
    </w:p>
    <w:p w14:paraId="2207045E">
      <w:pPr>
        <w:pStyle w:val="7"/>
        <w:spacing w:line="396" w:lineRule="auto"/>
        <w:rPr>
          <w:rFonts w:ascii="宋体" w:hAnsi="宋体" w:eastAsia="宋体" w:cs="宋体"/>
          <w:lang w:eastAsia="zh-CN"/>
        </w:rPr>
      </w:pPr>
    </w:p>
    <w:p w14:paraId="738EDA2C">
      <w:pPr>
        <w:pStyle w:val="7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  <w:sectPr>
          <w:headerReference r:id="rId3" w:type="even"/>
          <w:pgSz w:w="11907" w:h="16840"/>
          <w:pgMar w:top="1417" w:right="1361" w:bottom="1134" w:left="1417" w:header="0" w:footer="0" w:gutter="0"/>
          <w:cols w:space="720" w:num="1"/>
        </w:sectPr>
      </w:pPr>
    </w:p>
    <w:p w14:paraId="522276AE">
      <w:pPr>
        <w:spacing w:before="850" w:after="680" w:line="360" w:lineRule="auto"/>
        <w:jc w:val="center"/>
        <w:rPr>
          <w:rFonts w:ascii="宋体" w:hAnsi="宋体" w:eastAsia="宋体" w:cs="宋体"/>
        </w:rPr>
      </w:pPr>
      <w:bookmarkStart w:id="20" w:name="_Toc9520"/>
      <w:bookmarkStart w:id="21" w:name="_Toc279"/>
      <w:r>
        <w:rPr>
          <w:rFonts w:hint="eastAsia" w:ascii="黑体" w:hAnsi="黑体" w:eastAsia="黑体" w:cs="黑体"/>
          <w:sz w:val="32"/>
          <w:szCs w:val="32"/>
        </w:rPr>
        <w:t>目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录</w:t>
      </w:r>
    </w:p>
    <w:p w14:paraId="0F2FD163">
      <w:pPr>
        <w:pStyle w:val="13"/>
        <w:tabs>
          <w:tab w:val="right" w:leader="dot" w:pos="8951"/>
        </w:tabs>
        <w:spacing w:before="120" w:beforeLines="50"/>
        <w:rPr>
          <w:rFonts w:ascii="宋体" w:hAnsi="宋体" w:cs="宋体"/>
          <w:b/>
          <w:bCs/>
          <w:sz w:val="21"/>
        </w:rPr>
      </w:pP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TOC \o "1-3" \h \u </w:instrText>
      </w:r>
      <w:r>
        <w:rPr>
          <w:rFonts w:hint="eastAsia" w:ascii="宋体" w:hAnsi="宋体" w:cs="宋体"/>
          <w:sz w:val="21"/>
        </w:rPr>
        <w:fldChar w:fldCharType="separate"/>
      </w:r>
      <w:r>
        <w:fldChar w:fldCharType="begin"/>
      </w:r>
      <w:r>
        <w:instrText xml:space="preserve"> HYPERLINK \l "_Toc6075" </w:instrText>
      </w:r>
      <w:r>
        <w:fldChar w:fldCharType="separate"/>
      </w:r>
      <w:r>
        <w:rPr>
          <w:rFonts w:hint="eastAsia" w:ascii="宋体" w:hAnsi="宋体" w:cs="宋体"/>
          <w:b/>
          <w:bCs/>
          <w:spacing w:val="-2"/>
          <w:sz w:val="21"/>
          <w:lang w:eastAsia="zh-CN"/>
        </w:rPr>
        <w:t>前言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t>1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38807F6F">
      <w:pPr>
        <w:pStyle w:val="13"/>
        <w:tabs>
          <w:tab w:val="right" w:leader="dot" w:pos="8951"/>
        </w:tabs>
        <w:spacing w:before="120" w:beforeLines="50"/>
      </w:pPr>
      <w:r>
        <w:fldChar w:fldCharType="begin"/>
      </w:r>
      <w:r>
        <w:instrText xml:space="preserve"> HYPERLINK \l "_Toc6075" </w:instrText>
      </w:r>
      <w: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发布说明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t>2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34A58F34">
      <w:pPr>
        <w:pStyle w:val="13"/>
        <w:tabs>
          <w:tab w:val="right" w:leader="dot" w:pos="8951"/>
        </w:tabs>
        <w:spacing w:before="120" w:beforeLines="50"/>
        <w:rPr>
          <w:rFonts w:ascii="宋体" w:hAnsi="宋体" w:cs="宋体"/>
          <w:b/>
          <w:bCs/>
          <w:sz w:val="21"/>
        </w:rPr>
      </w:pPr>
      <w:r>
        <w:fldChar w:fldCharType="begin"/>
      </w:r>
      <w:r>
        <w:instrText xml:space="preserve"> HYPERLINK \l "_Toc30579" </w:instrText>
      </w:r>
      <w: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1  范围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t>3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4E739B7A">
      <w:pPr>
        <w:pStyle w:val="13"/>
        <w:tabs>
          <w:tab w:val="right" w:leader="dot" w:pos="8951"/>
        </w:tabs>
        <w:spacing w:before="120" w:beforeLines="50"/>
        <w:rPr>
          <w:rFonts w:ascii="宋体" w:hAnsi="宋体" w:cs="宋体"/>
          <w:b/>
          <w:bCs/>
          <w:sz w:val="21"/>
        </w:rPr>
      </w:pPr>
      <w:r>
        <w:fldChar w:fldCharType="begin"/>
      </w:r>
      <w:r>
        <w:instrText xml:space="preserve"> HYPERLINK \l "_Toc6505" </w:instrText>
      </w:r>
      <w: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2  规范性引用文件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t>3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44206C24">
      <w:pPr>
        <w:pStyle w:val="13"/>
        <w:tabs>
          <w:tab w:val="right" w:leader="dot" w:pos="8951"/>
        </w:tabs>
        <w:spacing w:before="120" w:beforeLines="50"/>
        <w:rPr>
          <w:rFonts w:ascii="宋体" w:hAnsi="宋体" w:cs="宋体"/>
          <w:b/>
          <w:bCs/>
          <w:sz w:val="21"/>
        </w:rPr>
      </w:pPr>
      <w:r>
        <w:fldChar w:fldCharType="begin"/>
      </w:r>
      <w:r>
        <w:instrText xml:space="preserve"> HYPERLINK \l "_Toc3943" </w:instrText>
      </w:r>
      <w: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3  术语和定义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t>3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2AE16C3C">
      <w:pPr>
        <w:pStyle w:val="13"/>
        <w:tabs>
          <w:tab w:val="right" w:leader="dot" w:pos="8951"/>
        </w:tabs>
        <w:spacing w:before="120" w:beforeLines="50"/>
        <w:rPr>
          <w:rFonts w:ascii="宋体" w:hAnsi="宋体" w:cs="宋体"/>
          <w:b/>
          <w:bCs/>
          <w:sz w:val="21"/>
        </w:rPr>
      </w:pPr>
      <w:r>
        <w:fldChar w:fldCharType="begin"/>
      </w:r>
      <w:r>
        <w:instrText xml:space="preserve"> HYPERLINK \l "_Toc5248" </w:instrText>
      </w:r>
      <w: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4  安全检查的基本要求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t>4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2501F465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"_Toc8169"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 xml:space="preserve">4.1  </w:t>
      </w:r>
      <w:r>
        <w:rPr>
          <w:rFonts w:hint="eastAsia" w:ascii="宋体" w:hAnsi="宋体" w:cs="宋体"/>
          <w:sz w:val="21"/>
          <w:lang w:val="en-US" w:eastAsia="zh-CN"/>
        </w:rPr>
        <w:t>总体原则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eastAsia="zh-CN"/>
        </w:rPr>
        <w:t>4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57097BD1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"_Toc32187"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 xml:space="preserve">4.2  </w:t>
      </w:r>
      <w:r>
        <w:rPr>
          <w:rFonts w:hint="eastAsia" w:ascii="宋体" w:hAnsi="宋体" w:cs="宋体"/>
          <w:sz w:val="21"/>
          <w:lang w:val="en-US" w:eastAsia="zh-CN"/>
        </w:rPr>
        <w:t>检查频次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eastAsia="zh-CN"/>
        </w:rPr>
        <w:t>4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21DFD273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"_Toc13198"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 xml:space="preserve">4.3  </w:t>
      </w:r>
      <w:r>
        <w:rPr>
          <w:rFonts w:hint="eastAsia" w:ascii="宋体" w:hAnsi="宋体" w:cs="宋体"/>
          <w:sz w:val="21"/>
          <w:lang w:val="en-US" w:eastAsia="zh-CN"/>
        </w:rPr>
        <w:t>检查工具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val="en-US" w:eastAsia="zh-CN"/>
        </w:rPr>
        <w:t>4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2299513B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hint="eastAsia" w:ascii="宋体" w:hAnsi="宋体" w:cs="宋体"/>
          <w:sz w:val="21"/>
          <w:lang w:eastAsia="zh-CN"/>
        </w:rPr>
      </w:pPr>
      <w:r>
        <w:fldChar w:fldCharType="begin"/>
      </w:r>
      <w:r>
        <w:instrText xml:space="preserve"> HYPERLINK \l "_Toc30188"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 xml:space="preserve">4.4  </w:t>
      </w:r>
      <w:r>
        <w:rPr>
          <w:rFonts w:hint="eastAsia" w:ascii="宋体" w:hAnsi="宋体" w:cs="宋体"/>
          <w:sz w:val="21"/>
          <w:lang w:val="en-US" w:eastAsia="zh-CN"/>
        </w:rPr>
        <w:t>检查人员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val="en-US" w:eastAsia="zh-CN"/>
        </w:rPr>
        <w:t>5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155CD4FC">
      <w:pPr>
        <w:pStyle w:val="13"/>
        <w:tabs>
          <w:tab w:val="right" w:leader="dot" w:pos="8951"/>
        </w:tabs>
        <w:spacing w:before="120" w:beforeLines="50"/>
        <w:rPr>
          <w:rFonts w:ascii="宋体" w:hAnsi="宋体" w:cs="宋体"/>
          <w:b/>
          <w:bCs/>
          <w:sz w:val="21"/>
        </w:rPr>
      </w:pPr>
      <w:r>
        <w:fldChar w:fldCharType="begin"/>
      </w:r>
      <w:r>
        <w:instrText xml:space="preserve"> HYPERLINK \l "_Toc20032" </w:instrText>
      </w:r>
      <w: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 xml:space="preserve">5  </w:t>
      </w:r>
      <w:r>
        <w:rPr>
          <w:rFonts w:hint="eastAsia" w:ascii="宋体" w:hAnsi="宋体" w:cs="宋体"/>
          <w:b/>
          <w:bCs/>
          <w:sz w:val="21"/>
          <w:lang w:val="en-US" w:eastAsia="zh-CN"/>
        </w:rPr>
        <w:t>风险分级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</w:rPr>
        <w:fldChar w:fldCharType="begin"/>
      </w:r>
      <w:r>
        <w:rPr>
          <w:rFonts w:hint="eastAsia" w:ascii="宋体" w:hAnsi="宋体" w:cs="宋体"/>
          <w:b/>
          <w:bCs/>
          <w:sz w:val="21"/>
        </w:rPr>
        <w:instrText xml:space="preserve"> PAGEREF _Toc20032 \h </w:instrText>
      </w:r>
      <w:r>
        <w:rPr>
          <w:rFonts w:hint="eastAsia" w:ascii="宋体" w:hAnsi="宋体" w:cs="宋体"/>
          <w:b/>
          <w:bCs/>
          <w:sz w:val="21"/>
        </w:rPr>
        <w:fldChar w:fldCharType="separate"/>
      </w:r>
      <w:r>
        <w:rPr>
          <w:rFonts w:hint="eastAsia" w:ascii="宋体" w:hAnsi="宋体" w:cs="宋体"/>
          <w:b/>
          <w:bCs/>
          <w:sz w:val="21"/>
        </w:rPr>
        <w:t>6</w:t>
      </w:r>
      <w:r>
        <w:rPr>
          <w:rFonts w:hint="eastAsia" w:ascii="宋体" w:hAnsi="宋体" w:cs="宋体"/>
          <w:b/>
          <w:bCs/>
          <w:sz w:val="21"/>
        </w:rPr>
        <w:fldChar w:fldCharType="end"/>
      </w:r>
      <w:r>
        <w:rPr>
          <w:rFonts w:hint="eastAsia" w:ascii="宋体" w:hAnsi="宋体" w:cs="宋体"/>
          <w:b/>
          <w:bCs/>
          <w:sz w:val="21"/>
        </w:rPr>
        <w:fldChar w:fldCharType="end"/>
      </w:r>
    </w:p>
    <w:p w14:paraId="38D23788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"_Toc8169" </w:instrText>
      </w:r>
      <w:r>
        <w:fldChar w:fldCharType="separate"/>
      </w:r>
      <w:r>
        <w:rPr>
          <w:rFonts w:hint="eastAsia" w:ascii="宋体" w:hAnsi="宋体" w:cs="宋体"/>
          <w:sz w:val="21"/>
          <w:lang w:val="en-US" w:eastAsia="zh-CN"/>
        </w:rPr>
        <w:t>5.1</w:t>
      </w:r>
      <w:r>
        <w:rPr>
          <w:rFonts w:hint="eastAsia" w:ascii="宋体" w:hAnsi="宋体" w:cs="宋体"/>
          <w:sz w:val="21"/>
          <w:lang w:eastAsia="zh-CN"/>
        </w:rPr>
        <w:t xml:space="preserve">  </w:t>
      </w:r>
      <w:r>
        <w:rPr>
          <w:rFonts w:hint="eastAsia" w:ascii="宋体" w:hAnsi="宋体" w:cs="宋体"/>
          <w:sz w:val="21"/>
          <w:lang w:val="en-US" w:eastAsia="zh-CN"/>
        </w:rPr>
        <w:t>分级依据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val="en-US" w:eastAsia="zh-CN"/>
        </w:rPr>
        <w:t>6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36AEEFB4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"_Toc8169" </w:instrText>
      </w:r>
      <w:r>
        <w:fldChar w:fldCharType="separate"/>
      </w:r>
      <w:r>
        <w:rPr>
          <w:rFonts w:hint="eastAsia" w:ascii="宋体" w:hAnsi="宋体" w:cs="宋体"/>
          <w:sz w:val="21"/>
          <w:lang w:val="en-US" w:eastAsia="zh-CN"/>
        </w:rPr>
        <w:t>5</w:t>
      </w:r>
      <w:r>
        <w:rPr>
          <w:rFonts w:hint="eastAsia" w:ascii="宋体" w:hAnsi="宋体" w:cs="宋体"/>
          <w:sz w:val="21"/>
          <w:lang w:eastAsia="zh-CN"/>
        </w:rPr>
        <w:t>.</w:t>
      </w:r>
      <w:r>
        <w:rPr>
          <w:rFonts w:hint="eastAsia" w:ascii="宋体" w:hAnsi="宋体" w:cs="宋体"/>
          <w:sz w:val="21"/>
          <w:lang w:val="en-US" w:eastAsia="zh-CN"/>
        </w:rPr>
        <w:t>2</w:t>
      </w:r>
      <w:r>
        <w:rPr>
          <w:rFonts w:hint="eastAsia" w:ascii="宋体" w:hAnsi="宋体" w:cs="宋体"/>
          <w:sz w:val="21"/>
          <w:lang w:eastAsia="zh-CN"/>
        </w:rPr>
        <w:t xml:space="preserve">  </w:t>
      </w:r>
      <w:r>
        <w:rPr>
          <w:rFonts w:hint="eastAsia" w:ascii="宋体" w:hAnsi="宋体" w:cs="宋体"/>
          <w:sz w:val="21"/>
          <w:lang w:val="en-US" w:eastAsia="zh-CN"/>
        </w:rPr>
        <w:t>分级应用要求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val="en-US" w:eastAsia="zh-CN"/>
        </w:rPr>
        <w:t>6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6ECE1AE6">
      <w:pPr>
        <w:pStyle w:val="13"/>
        <w:tabs>
          <w:tab w:val="right" w:leader="dot" w:pos="8951"/>
        </w:tabs>
        <w:spacing w:before="120" w:beforeLines="50"/>
        <w:rPr>
          <w:rFonts w:ascii="宋体" w:hAnsi="宋体" w:cs="宋体"/>
          <w:b/>
          <w:bCs/>
          <w:sz w:val="21"/>
        </w:rPr>
      </w:pPr>
      <w:r>
        <w:fldChar w:fldCharType="begin"/>
      </w:r>
      <w:r>
        <w:instrText xml:space="preserve"> HYPERLINK \l "_Toc20032" </w:instrText>
      </w:r>
      <w:r>
        <w:fldChar w:fldCharType="separate"/>
      </w:r>
      <w:r>
        <w:rPr>
          <w:rFonts w:hint="eastAsia" w:ascii="宋体" w:hAnsi="宋体" w:cs="宋体"/>
          <w:b/>
          <w:bCs/>
          <w:sz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1"/>
          <w:lang w:eastAsia="zh-CN"/>
        </w:rPr>
        <w:t xml:space="preserve">  检查实施</w:t>
      </w:r>
      <w:r>
        <w:rPr>
          <w:rFonts w:hint="eastAsia" w:ascii="宋体" w:hAnsi="宋体" w:cs="宋体"/>
          <w:b/>
          <w:bCs/>
          <w:sz w:val="21"/>
        </w:rPr>
        <w:tab/>
      </w:r>
      <w:r>
        <w:rPr>
          <w:rFonts w:hint="eastAsia" w:ascii="宋体" w:hAnsi="宋体" w:cs="宋体"/>
          <w:b/>
          <w:bCs/>
          <w:sz w:val="21"/>
        </w:rPr>
        <w:fldChar w:fldCharType="begin"/>
      </w:r>
      <w:r>
        <w:rPr>
          <w:rFonts w:hint="eastAsia" w:ascii="宋体" w:hAnsi="宋体" w:cs="宋体"/>
          <w:b/>
          <w:bCs/>
          <w:sz w:val="21"/>
        </w:rPr>
        <w:instrText xml:space="preserve"> PAGEREF _Toc20032 \h </w:instrText>
      </w:r>
      <w:r>
        <w:rPr>
          <w:rFonts w:hint="eastAsia" w:ascii="宋体" w:hAnsi="宋体" w:cs="宋体"/>
          <w:b/>
          <w:bCs/>
          <w:sz w:val="21"/>
        </w:rPr>
        <w:fldChar w:fldCharType="separate"/>
      </w:r>
      <w:r>
        <w:rPr>
          <w:rFonts w:hint="eastAsia" w:ascii="宋体" w:hAnsi="宋体" w:cs="宋体"/>
          <w:b/>
          <w:bCs/>
          <w:sz w:val="21"/>
        </w:rPr>
        <w:t>6</w:t>
      </w:r>
      <w:r>
        <w:rPr>
          <w:rFonts w:hint="eastAsia" w:ascii="宋体" w:hAnsi="宋体" w:cs="宋体"/>
          <w:b/>
          <w:bCs/>
          <w:sz w:val="21"/>
        </w:rPr>
        <w:fldChar w:fldCharType="end"/>
      </w:r>
      <w:r>
        <w:rPr>
          <w:rFonts w:hint="eastAsia" w:ascii="宋体" w:hAnsi="宋体" w:cs="宋体"/>
          <w:b/>
          <w:bCs/>
          <w:sz w:val="21"/>
        </w:rPr>
        <w:fldChar w:fldCharType="end"/>
      </w:r>
    </w:p>
    <w:p w14:paraId="73EADAEB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"_Toc17962" </w:instrText>
      </w:r>
      <w:r>
        <w:fldChar w:fldCharType="separate"/>
      </w:r>
      <w:r>
        <w:rPr>
          <w:rFonts w:hint="eastAsia" w:ascii="宋体" w:hAnsi="宋体" w:cs="宋体"/>
          <w:sz w:val="21"/>
          <w:lang w:val="en-US" w:eastAsia="zh-CN"/>
        </w:rPr>
        <w:t>6</w:t>
      </w:r>
      <w:r>
        <w:rPr>
          <w:rFonts w:hint="eastAsia" w:ascii="宋体" w:hAnsi="宋体" w:cs="宋体"/>
          <w:sz w:val="21"/>
          <w:lang w:eastAsia="zh-CN"/>
        </w:rPr>
        <w:t>.1  检查前准备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lang w:eastAsia="zh-CN"/>
        </w:rPr>
        <w:t>7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13DD62D5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"_Toc32298" </w:instrText>
      </w:r>
      <w:r>
        <w:fldChar w:fldCharType="separate"/>
      </w:r>
      <w:r>
        <w:rPr>
          <w:rFonts w:hint="eastAsia" w:ascii="宋体" w:hAnsi="宋体" w:cs="宋体"/>
          <w:sz w:val="21"/>
          <w:lang w:val="en-US" w:eastAsia="zh-CN"/>
        </w:rPr>
        <w:t>6</w:t>
      </w:r>
      <w:r>
        <w:rPr>
          <w:rFonts w:hint="eastAsia" w:ascii="宋体" w:hAnsi="宋体" w:cs="宋体"/>
          <w:sz w:val="21"/>
          <w:lang w:eastAsia="zh-CN"/>
        </w:rPr>
        <w:t>.2  安全检查实施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eastAsia="zh-CN"/>
        </w:rPr>
        <w:t>7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2F2549CA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"_Toc20383" </w:instrText>
      </w:r>
      <w:r>
        <w:fldChar w:fldCharType="separate"/>
      </w:r>
      <w:r>
        <w:rPr>
          <w:rFonts w:hint="eastAsia" w:ascii="宋体" w:hAnsi="宋体" w:cs="宋体"/>
          <w:sz w:val="21"/>
          <w:lang w:val="en-US" w:eastAsia="zh-CN"/>
        </w:rPr>
        <w:t>6</w:t>
      </w:r>
      <w:r>
        <w:rPr>
          <w:rFonts w:hint="eastAsia" w:ascii="宋体" w:hAnsi="宋体" w:cs="宋体"/>
          <w:sz w:val="21"/>
          <w:lang w:eastAsia="zh-CN"/>
        </w:rPr>
        <w:t>.3  检查结果汇总与分析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eastAsia="zh-CN"/>
        </w:rPr>
        <w:t>8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448C9E01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"_Toc9426" </w:instrText>
      </w:r>
      <w:r>
        <w:fldChar w:fldCharType="separate"/>
      </w:r>
      <w:r>
        <w:rPr>
          <w:rFonts w:hint="eastAsia" w:ascii="宋体" w:hAnsi="宋体" w:cs="宋体"/>
          <w:sz w:val="21"/>
          <w:lang w:val="en-US" w:eastAsia="zh-CN"/>
        </w:rPr>
        <w:t>6</w:t>
      </w:r>
      <w:r>
        <w:rPr>
          <w:rFonts w:hint="eastAsia" w:ascii="宋体" w:hAnsi="宋体" w:cs="宋体"/>
          <w:sz w:val="21"/>
          <w:lang w:eastAsia="zh-CN"/>
        </w:rPr>
        <w:t>.4  整改要求与跟踪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eastAsia="zh-CN"/>
        </w:rPr>
        <w:t>9</w:t>
      </w:r>
      <w:r>
        <w:rPr>
          <w:rFonts w:hint="eastAsia" w:ascii="宋体" w:hAnsi="宋体" w:cs="宋体"/>
          <w:sz w:val="21"/>
          <w:lang w:eastAsia="zh-CN"/>
        </w:rPr>
        <w:fldChar w:fldCharType="end"/>
      </w:r>
    </w:p>
    <w:p w14:paraId="60323DB3">
      <w:pPr>
        <w:pStyle w:val="13"/>
        <w:tabs>
          <w:tab w:val="right" w:leader="dot" w:pos="8951"/>
        </w:tabs>
        <w:spacing w:before="120" w:beforeLines="50"/>
        <w:ind w:firstLine="0" w:firstLineChars="0"/>
      </w:pPr>
      <w:r>
        <w:rPr>
          <w:rFonts w:hint="eastAsia" w:ascii="宋体" w:hAnsi="宋体" w:cs="宋体"/>
          <w:b/>
          <w:bCs/>
          <w:sz w:val="21"/>
          <w:lang w:val="en-US" w:eastAsia="zh-CN"/>
        </w:rPr>
        <w:t>附录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begin"/>
      </w:r>
      <w:r>
        <w:rPr>
          <w:rFonts w:hint="eastAsia" w:ascii="宋体" w:hAnsi="宋体" w:cs="宋体"/>
          <w:b/>
          <w:bCs/>
          <w:sz w:val="21"/>
          <w:lang w:eastAsia="zh-CN"/>
        </w:rPr>
        <w:instrText xml:space="preserve"> HYPERLINK \l "_Toc16915" </w:instrTex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A  安全文件管理检查</w:t>
      </w:r>
      <w:r>
        <w:rPr>
          <w:rFonts w:hint="eastAsia" w:ascii="宋体" w:hAnsi="宋体" w:cs="宋体"/>
          <w:b/>
          <w:bCs/>
          <w:sz w:val="21"/>
          <w:lang w:eastAsia="zh-CN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begin"/>
      </w:r>
      <w:r>
        <w:rPr>
          <w:rFonts w:hint="eastAsia" w:ascii="宋体" w:hAnsi="宋体" w:cs="宋体"/>
          <w:b/>
          <w:bCs/>
          <w:sz w:val="21"/>
          <w:lang w:eastAsia="zh-CN"/>
        </w:rPr>
        <w:instrText xml:space="preserve"> PAGEREF _Toc16915 \h </w:instrTex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9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0275F7E3">
      <w:pPr>
        <w:pStyle w:val="14"/>
        <w:tabs>
          <w:tab w:val="right" w:leader="dot" w:pos="8951"/>
        </w:tabs>
        <w:spacing w:before="120" w:beforeLines="50"/>
        <w:ind w:left="0" w:leftChars="0" w:firstLine="0" w:firstLineChars="0"/>
        <w:rPr>
          <w:sz w:val="21"/>
        </w:rPr>
      </w:pPr>
      <w:r>
        <w:rPr>
          <w:rFonts w:hint="eastAsia" w:ascii="宋体" w:hAnsi="宋体" w:cs="宋体"/>
          <w:b/>
          <w:bCs/>
          <w:sz w:val="21"/>
          <w:lang w:val="en-US" w:eastAsia="zh-CN"/>
        </w:rPr>
        <w:t>附录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begin"/>
      </w:r>
      <w:r>
        <w:rPr>
          <w:rFonts w:hint="eastAsia" w:ascii="宋体" w:hAnsi="宋体" w:cs="宋体"/>
          <w:b/>
          <w:bCs/>
          <w:sz w:val="21"/>
          <w:lang w:eastAsia="zh-CN"/>
        </w:rPr>
        <w:instrText xml:space="preserve"> HYPERLINK \l "_Toc6101" </w:instrTex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B  安全现场管理检查</w:t>
      </w:r>
      <w:r>
        <w:rPr>
          <w:rFonts w:hint="eastAsia" w:ascii="宋体" w:hAnsi="宋体" w:cs="宋体"/>
          <w:b/>
          <w:bCs/>
          <w:sz w:val="21"/>
          <w:lang w:eastAsia="zh-CN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begin"/>
      </w:r>
      <w:r>
        <w:rPr>
          <w:rFonts w:hint="eastAsia" w:ascii="宋体" w:hAnsi="宋体" w:cs="宋体"/>
          <w:b/>
          <w:bCs/>
          <w:sz w:val="21"/>
          <w:lang w:eastAsia="zh-CN"/>
        </w:rPr>
        <w:instrText xml:space="preserve"> PAGEREF _Toc6101 \h </w:instrTex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16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02B37C9C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"_Toc6101"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B.1  运行状态管理检查表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_Toc6101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16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3AC0288B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"_Toc21190"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B.2  各工艺单元安全检查表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_Toc21190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20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78E02BFD">
      <w:pPr>
        <w:pStyle w:val="14"/>
        <w:tabs>
          <w:tab w:val="right" w:leader="dot" w:pos="8951"/>
        </w:tabs>
        <w:spacing w:before="120" w:beforeLines="50"/>
        <w:ind w:left="0" w:leftChars="0" w:firstLine="560" w:firstLineChars="2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"_Toc29890"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B.2.1  预处理单元安全检查表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_Toc29890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20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4B0476C1">
      <w:pPr>
        <w:pStyle w:val="14"/>
        <w:tabs>
          <w:tab w:val="right" w:leader="dot" w:pos="8951"/>
        </w:tabs>
        <w:spacing w:before="120" w:beforeLines="50"/>
        <w:ind w:left="0" w:leftChars="0" w:firstLine="560" w:firstLineChars="2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"_Toc3348"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B.2.2  液化单元安全检查表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_Toc3348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24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054CAF0C">
      <w:pPr>
        <w:pStyle w:val="14"/>
        <w:tabs>
          <w:tab w:val="right" w:leader="dot" w:pos="8951"/>
        </w:tabs>
        <w:spacing w:before="120" w:beforeLines="50"/>
        <w:ind w:left="0" w:leftChars="0" w:firstLine="560" w:firstLineChars="2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"_Toc9531"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B.2.3  公用工程单元安全检查表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_Toc9531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27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69E4062C">
      <w:pPr>
        <w:pStyle w:val="14"/>
        <w:tabs>
          <w:tab w:val="right" w:leader="dot" w:pos="8951"/>
        </w:tabs>
        <w:spacing w:before="120" w:beforeLines="50"/>
        <w:ind w:left="0" w:leftChars="0" w:firstLine="560" w:firstLineChars="2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"_Toc26015"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B.2.4  储运单元安全检查表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_Toc26015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34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6BCDA345">
      <w:pPr>
        <w:pStyle w:val="14"/>
        <w:tabs>
          <w:tab w:val="right" w:leader="dot" w:pos="8951"/>
        </w:tabs>
        <w:spacing w:before="120" w:beforeLines="50"/>
        <w:ind w:left="0" w:leftChars="0" w:firstLine="560" w:firstLineChars="200"/>
        <w:rPr>
          <w:lang w:eastAsia="zh-CN"/>
        </w:rPr>
      </w:pPr>
      <w:r>
        <w:fldChar w:fldCharType="begin"/>
      </w:r>
      <w:r>
        <w:instrText xml:space="preserve"> HYPERLINK \l "_Toc26015"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B.2.5  全厂安全附件检查表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eastAsia="zh-CN"/>
        </w:rPr>
        <w:t>4</w:t>
      </w:r>
      <w:r>
        <w:rPr>
          <w:rFonts w:hint="eastAsia" w:ascii="宋体" w:hAnsi="宋体" w:cs="宋体"/>
          <w:sz w:val="21"/>
          <w:lang w:eastAsia="zh-CN"/>
        </w:rPr>
        <w:fldChar w:fldCharType="end"/>
      </w:r>
      <w:r>
        <w:rPr>
          <w:rFonts w:hint="eastAsia" w:ascii="宋体" w:hAnsi="宋体" w:cs="宋体"/>
          <w:sz w:val="21"/>
          <w:lang w:eastAsia="zh-CN"/>
        </w:rPr>
        <w:t>3</w:t>
      </w:r>
    </w:p>
    <w:p w14:paraId="4AFD6D60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"_Toc17755"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B.3  电气安全检查表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_Toc17755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39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7759D782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sz w:val="21"/>
          <w:lang w:eastAsia="zh-CN"/>
        </w:rPr>
      </w:pPr>
      <w:r>
        <w:fldChar w:fldCharType="begin"/>
      </w:r>
      <w:r>
        <w:instrText xml:space="preserve"> HYPERLINK \l "_Toc17755"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B.4  仪表安全检查表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  <w:lang w:eastAsia="zh-CN"/>
        </w:rPr>
        <w:t>4</w:t>
      </w:r>
      <w:r>
        <w:rPr>
          <w:rFonts w:hint="eastAsia" w:ascii="宋体" w:hAnsi="宋体" w:cs="宋体"/>
          <w:sz w:val="21"/>
          <w:lang w:eastAsia="zh-CN"/>
        </w:rPr>
        <w:fldChar w:fldCharType="end"/>
      </w:r>
      <w:r>
        <w:rPr>
          <w:rFonts w:hint="eastAsia" w:ascii="宋体" w:hAnsi="宋体" w:cs="宋体"/>
          <w:sz w:val="21"/>
          <w:lang w:eastAsia="zh-CN"/>
        </w:rPr>
        <w:t>2</w:t>
      </w:r>
    </w:p>
    <w:p w14:paraId="4CAD9C0C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"_Toc20768"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B.5  消防安全检查表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_Toc20768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56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3B486215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"_Toc17366"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B.6  其他设施安全检查表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_Toc17366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62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62E7A4C8">
      <w:pPr>
        <w:pStyle w:val="14"/>
        <w:tabs>
          <w:tab w:val="right" w:leader="dot" w:pos="8951"/>
        </w:tabs>
        <w:spacing w:before="120" w:beforeLines="50"/>
        <w:ind w:left="0" w:leftChars="0" w:firstLine="280" w:firstLineChars="100"/>
        <w:rPr>
          <w:rFonts w:ascii="宋体" w:hAnsi="宋体" w:cs="宋体"/>
          <w:sz w:val="21"/>
        </w:rPr>
      </w:pPr>
      <w:r>
        <w:fldChar w:fldCharType="begin"/>
      </w:r>
      <w:r>
        <w:instrText xml:space="preserve"> HYPERLINK \l "_Toc9427" </w:instrText>
      </w:r>
      <w:r>
        <w:fldChar w:fldCharType="separate"/>
      </w:r>
      <w:r>
        <w:rPr>
          <w:rFonts w:hint="eastAsia" w:ascii="宋体" w:hAnsi="宋体" w:cs="宋体"/>
          <w:sz w:val="21"/>
          <w:lang w:eastAsia="zh-CN"/>
        </w:rPr>
        <w:t>B.7  安全标志检查表</w:t>
      </w:r>
      <w:r>
        <w:rPr>
          <w:rFonts w:hint="eastAsia" w:ascii="宋体" w:hAnsi="宋体" w:cs="宋体"/>
          <w:sz w:val="21"/>
        </w:rPr>
        <w:tab/>
      </w:r>
      <w:r>
        <w:rPr>
          <w:rFonts w:hint="eastAsia" w:ascii="宋体" w:hAnsi="宋体" w:cs="宋体"/>
          <w:sz w:val="21"/>
        </w:rPr>
        <w:fldChar w:fldCharType="begin"/>
      </w:r>
      <w:r>
        <w:rPr>
          <w:rFonts w:hint="eastAsia" w:ascii="宋体" w:hAnsi="宋体" w:cs="宋体"/>
          <w:sz w:val="21"/>
        </w:rPr>
        <w:instrText xml:space="preserve"> PAGEREF _Toc9427 \h </w:instrText>
      </w:r>
      <w:r>
        <w:rPr>
          <w:rFonts w:hint="eastAsia" w:ascii="宋体" w:hAnsi="宋体" w:cs="宋体"/>
          <w:sz w:val="21"/>
        </w:rPr>
        <w:fldChar w:fldCharType="separate"/>
      </w:r>
      <w:r>
        <w:rPr>
          <w:rFonts w:hint="eastAsia" w:ascii="宋体" w:hAnsi="宋体" w:cs="宋体"/>
          <w:sz w:val="21"/>
        </w:rPr>
        <w:t>70</w:t>
      </w:r>
      <w:r>
        <w:rPr>
          <w:rFonts w:hint="eastAsia" w:ascii="宋体" w:hAnsi="宋体" w:cs="宋体"/>
          <w:sz w:val="21"/>
        </w:rPr>
        <w:fldChar w:fldCharType="end"/>
      </w:r>
      <w:r>
        <w:rPr>
          <w:rFonts w:hint="eastAsia" w:ascii="宋体" w:hAnsi="宋体" w:cs="宋体"/>
          <w:sz w:val="21"/>
        </w:rPr>
        <w:fldChar w:fldCharType="end"/>
      </w:r>
    </w:p>
    <w:p w14:paraId="6BA96EBC">
      <w:pPr>
        <w:pStyle w:val="14"/>
        <w:tabs>
          <w:tab w:val="right" w:leader="dot" w:pos="8951"/>
        </w:tabs>
        <w:spacing w:before="120" w:beforeLines="50"/>
        <w:ind w:left="0" w:leftChars="0" w:firstLine="0" w:firstLineChars="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b/>
          <w:bCs/>
          <w:sz w:val="21"/>
          <w:lang w:val="en-US" w:eastAsia="zh-CN"/>
        </w:rPr>
        <w:t>附录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begin"/>
      </w:r>
      <w:r>
        <w:rPr>
          <w:rFonts w:hint="eastAsia" w:ascii="宋体" w:hAnsi="宋体" w:cs="宋体"/>
          <w:b/>
          <w:bCs/>
          <w:sz w:val="21"/>
          <w:lang w:eastAsia="zh-CN"/>
        </w:rPr>
        <w:instrText xml:space="preserve"> HYPERLINK \l "_Toc9451" </w:instrTex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C  隐患整改通知单</w:t>
      </w:r>
      <w:r>
        <w:rPr>
          <w:rFonts w:hint="eastAsia" w:ascii="宋体" w:hAnsi="宋体" w:cs="宋体"/>
          <w:b/>
          <w:bCs/>
          <w:sz w:val="21"/>
          <w:lang w:eastAsia="zh-CN"/>
        </w:rPr>
        <w:tab/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begin"/>
      </w:r>
      <w:r>
        <w:rPr>
          <w:rFonts w:hint="eastAsia" w:ascii="宋体" w:hAnsi="宋体" w:cs="宋体"/>
          <w:b/>
          <w:bCs/>
          <w:sz w:val="21"/>
          <w:lang w:eastAsia="zh-CN"/>
        </w:rPr>
        <w:instrText xml:space="preserve"> PAGEREF _Toc9451 \h </w:instrTex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separate"/>
      </w:r>
      <w:r>
        <w:rPr>
          <w:rFonts w:hint="eastAsia" w:ascii="宋体" w:hAnsi="宋体" w:cs="宋体"/>
          <w:b/>
          <w:bCs/>
          <w:sz w:val="21"/>
          <w:lang w:eastAsia="zh-CN"/>
        </w:rPr>
        <w:t>80</w:t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  <w:r>
        <w:rPr>
          <w:rFonts w:hint="eastAsia" w:ascii="宋体" w:hAnsi="宋体" w:cs="宋体"/>
          <w:b/>
          <w:bCs/>
          <w:sz w:val="21"/>
          <w:lang w:eastAsia="zh-CN"/>
        </w:rPr>
        <w:fldChar w:fldCharType="end"/>
      </w:r>
    </w:p>
    <w:p w14:paraId="414F4A28">
      <w:pPr>
        <w:spacing w:before="120" w:beforeLines="50" w:line="360" w:lineRule="auto"/>
        <w:rPr>
          <w:sz w:val="20"/>
          <w:szCs w:val="20"/>
        </w:rPr>
        <w:sectPr>
          <w:headerReference r:id="rId4" w:type="default"/>
          <w:footerReference r:id="rId6" w:type="default"/>
          <w:headerReference r:id="rId5" w:type="even"/>
          <w:footerReference r:id="rId7" w:type="even"/>
          <w:pgSz w:w="11907" w:h="16840"/>
          <w:pgMar w:top="1460" w:right="1134" w:bottom="1010" w:left="1423" w:header="0" w:footer="851" w:gutter="0"/>
          <w:pgNumType w:fmt="upperRoman"/>
          <w:cols w:space="720" w:num="1"/>
        </w:sectPr>
      </w:pPr>
      <w:r>
        <w:rPr>
          <w:rFonts w:hint="eastAsia" w:ascii="宋体" w:hAnsi="宋体" w:eastAsia="宋体" w:cs="宋体"/>
        </w:rPr>
        <w:fldChar w:fldCharType="end"/>
      </w:r>
    </w:p>
    <w:bookmarkEnd w:id="20"/>
    <w:bookmarkEnd w:id="21"/>
    <w:p w14:paraId="44844990">
      <w:pPr>
        <w:spacing w:before="850" w:after="680" w:line="360" w:lineRule="auto"/>
        <w:jc w:val="center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前   言</w:t>
      </w:r>
    </w:p>
    <w:p w14:paraId="2206EA63">
      <w:pPr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本文件按照GB/T1.1-2020《标准化工作导则第1部分：标准化文件的结构</w:t>
      </w:r>
      <w:r>
        <w:rPr>
          <w:rFonts w:hint="eastAsia" w:ascii="宋体" w:hAnsi="宋体" w:eastAsia="宋体" w:cs="宋体"/>
          <w:spacing w:val="7"/>
          <w:lang w:eastAsia="zh-CN"/>
        </w:rPr>
        <w:t>和起草规则》的规</w:t>
      </w:r>
      <w:r>
        <w:rPr>
          <w:rFonts w:hint="eastAsia" w:ascii="宋体" w:hAnsi="宋体" w:eastAsia="宋体" w:cs="宋体"/>
          <w:spacing w:val="3"/>
          <w:lang w:eastAsia="zh-CN"/>
        </w:rPr>
        <w:t>定起草。</w:t>
      </w:r>
    </w:p>
    <w:p w14:paraId="7E5A9FF8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hint="eastAsia"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本文件由陕西省液化天然气产业协会提出并归口。</w:t>
      </w:r>
    </w:p>
    <w:p w14:paraId="65F8C571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hint="eastAsia"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归口单位职责说明：陕西省液化天然气产业协会负责本文件的日常维护、解释及修订工作。</w:t>
      </w:r>
    </w:p>
    <w:p w14:paraId="75B7DC49">
      <w:pPr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color w:val="auto"/>
          <w:spacing w:val="8"/>
          <w:lang w:val="en-US" w:eastAsia="zh-CN"/>
        </w:rPr>
        <w:t>本文件</w:t>
      </w:r>
      <w:r>
        <w:rPr>
          <w:rFonts w:hint="eastAsia" w:ascii="宋体" w:hAnsi="宋体" w:eastAsia="宋体" w:cs="宋体"/>
          <w:color w:val="auto"/>
          <w:spacing w:val="8"/>
          <w:lang w:eastAsia="zh-CN"/>
        </w:rPr>
        <w:t>起草单位</w:t>
      </w:r>
      <w:r>
        <w:rPr>
          <w:rFonts w:hint="eastAsia" w:ascii="宋体" w:hAnsi="宋体" w:eastAsia="宋体" w:cs="宋体"/>
          <w:spacing w:val="8"/>
          <w:lang w:eastAsia="zh-CN"/>
        </w:rPr>
        <w:t>：陕西省液化天然气产业协会，陕西省燃气设计院有限公司，中能北方天然气股份有限公司，气小哥（西安）科技有限公司，宁夏天利丰燃气集团有限责任公司，榆林圆恒能源有限公司，宁强旭日天然气综合开发有限公司，陕西博凯迪克机电技术检测有限公司，新疆合力特技术服务股份有限公司。</w:t>
      </w:r>
    </w:p>
    <w:p w14:paraId="298ACBA4">
      <w:pPr>
        <w:spacing w:before="156" w:beforeLines="50" w:line="360" w:lineRule="auto"/>
        <w:ind w:firstLine="456" w:firstLineChars="200"/>
        <w:jc w:val="both"/>
        <w:rPr>
          <w:rFonts w:ascii="宋体" w:hAnsi="宋体" w:eastAsia="宋体" w:cs="宋体"/>
          <w:spacing w:val="9"/>
          <w:lang w:eastAsia="zh-CN"/>
        </w:rPr>
      </w:pPr>
      <w:r>
        <w:rPr>
          <w:rFonts w:hint="eastAsia" w:ascii="宋体" w:hAnsi="宋体" w:eastAsia="宋体" w:cs="宋体"/>
          <w:spacing w:val="9"/>
          <w:lang w:eastAsia="zh-CN"/>
        </w:rPr>
        <w:t>本文件主要起草人：郭宗华，田红梅，王凤雅，方正，张媛，胡雁柏，范永升，赵桂荣，骆仁忠，王伟平，程玉排，胡松涛，</w:t>
      </w:r>
      <w:r>
        <w:rPr>
          <w:rFonts w:hint="eastAsia" w:ascii="宋体" w:hAnsi="宋体" w:eastAsia="宋体" w:cs="宋体"/>
          <w:spacing w:val="9"/>
          <w:lang w:val="en-US" w:eastAsia="zh-CN"/>
        </w:rPr>
        <w:t>马波，</w:t>
      </w:r>
      <w:r>
        <w:rPr>
          <w:rFonts w:hint="eastAsia" w:ascii="宋体" w:hAnsi="宋体" w:eastAsia="宋体" w:cs="宋体"/>
          <w:spacing w:val="9"/>
          <w:lang w:eastAsia="zh-CN"/>
        </w:rPr>
        <w:t>李伟军，程玉珍，王浩志，王刚，陈兵，韩泽，高强。</w:t>
      </w:r>
    </w:p>
    <w:p w14:paraId="4CB31471">
      <w:pPr>
        <w:spacing w:before="156" w:beforeLines="50" w:line="360" w:lineRule="auto"/>
        <w:ind w:firstLine="456" w:firstLineChars="200"/>
        <w:jc w:val="both"/>
        <w:rPr>
          <w:rFonts w:ascii="宋体" w:hAnsi="宋体" w:eastAsia="宋体" w:cs="宋体"/>
          <w:b/>
          <w:bCs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spacing w:val="9"/>
          <w:lang w:eastAsia="zh-CN"/>
        </w:rPr>
        <w:t>本文件主要审查人：刘春江，王炳锋，康华，王志刚，曹学荣，陆伍龙，梁世希，闫小燕，何晓芳，薛义，张宏军，林文胜，张玉兴，翟小宁，马进，何卜思，张青。</w:t>
      </w:r>
    </w:p>
    <w:p w14:paraId="0D23FFEE">
      <w:pPr>
        <w:spacing w:before="850" w:after="680" w:line="360" w:lineRule="auto"/>
        <w:jc w:val="center"/>
        <w:rPr>
          <w:rFonts w:ascii="黑体" w:hAnsi="黑体" w:eastAsia="黑体" w:cs="黑体"/>
          <w:sz w:val="32"/>
          <w:szCs w:val="32"/>
          <w:lang w:eastAsia="zh-CN"/>
        </w:rPr>
      </w:pPr>
    </w:p>
    <w:p w14:paraId="391E0EE0">
      <w:pPr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  <w:lang w:eastAsia="zh-CN"/>
        </w:rPr>
        <w:br w:type="page"/>
      </w:r>
    </w:p>
    <w:p w14:paraId="00FA2D2E">
      <w:pPr>
        <w:autoSpaceDE/>
        <w:autoSpaceDN/>
        <w:spacing w:before="0" w:after="0" w:line="240" w:lineRule="auto"/>
        <w:jc w:val="center"/>
        <w:rPr>
          <w:rFonts w:ascii="黑体" w:hAnsi="黑体" w:eastAsia="黑体" w:cs="黑体"/>
          <w:sz w:val="32"/>
          <w:szCs w:val="32"/>
          <w:lang w:eastAsia="zh-CN"/>
        </w:rPr>
      </w:pPr>
    </w:p>
    <w:p w14:paraId="512D70CE">
      <w:pPr>
        <w:autoSpaceDE/>
        <w:autoSpaceDN/>
        <w:spacing w:before="680" w:after="680" w:line="240" w:lineRule="auto"/>
        <w:jc w:val="center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  <w:lang w:eastAsia="zh-CN"/>
        </w:rPr>
        <w:t>发布说明</w:t>
      </w:r>
    </w:p>
    <w:p w14:paraId="574D68F9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bookmarkStart w:id="22" w:name="_Toc25497"/>
      <w:bookmarkStart w:id="23" w:name="_Toc29365"/>
      <w:bookmarkStart w:id="24" w:name="_Toc11239"/>
      <w:bookmarkStart w:id="25" w:name="_Toc7304"/>
      <w:bookmarkStart w:id="26" w:name="_Toc32624"/>
      <w:bookmarkStart w:id="27" w:name="_Toc1001"/>
      <w:r>
        <w:rPr>
          <w:rFonts w:hint="eastAsia" w:ascii="宋体" w:hAnsi="宋体" w:eastAsia="宋体" w:cs="宋体"/>
          <w:spacing w:val="8"/>
          <w:lang w:eastAsia="zh-CN"/>
        </w:rPr>
        <w:t>本团体标准《天然气液化工厂安全检查导则（试行）》（T/SLIA001—2025）由陕西省液化天然气产业协会发布。在本标准实施过程中，各相关单位若对标准内容有疑问、建议或在应用过程中遇到问题，可通过以下方式联系解释单位：</w:t>
      </w:r>
    </w:p>
    <w:p w14:paraId="4FC10600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陕西省液化天然气产业协会</w:t>
      </w:r>
    </w:p>
    <w:p w14:paraId="3B101D45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联系人：王凤雅</w:t>
      </w:r>
    </w:p>
    <w:p w14:paraId="743FAFCA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联系电话：18509254560</w:t>
      </w:r>
    </w:p>
    <w:p w14:paraId="4A47BC69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电子邮箱：Shaanxi_lng@163.com，发送邮件时请在主题中注明 “关于 T/SLIA001—2025 标准咨询”。</w:t>
      </w:r>
    </w:p>
    <w:p w14:paraId="3D13F4DE">
      <w:pPr>
        <w:tabs>
          <w:tab w:val="left" w:pos="7980"/>
        </w:tabs>
        <w:spacing w:before="156" w:beforeLines="50" w:line="360" w:lineRule="auto"/>
        <w:ind w:firstLine="452" w:firstLineChars="200"/>
        <w:jc w:val="both"/>
        <w:rPr>
          <w:rFonts w:ascii="宋体" w:hAnsi="宋体" w:eastAsia="宋体" w:cs="宋体"/>
          <w:spacing w:val="8"/>
          <w:lang w:eastAsia="zh-CN"/>
        </w:rPr>
      </w:pPr>
      <w:r>
        <w:rPr>
          <w:rFonts w:hint="eastAsia" w:ascii="宋体" w:hAnsi="宋体" w:eastAsia="宋体" w:cs="宋体"/>
          <w:spacing w:val="8"/>
          <w:lang w:eastAsia="zh-CN"/>
        </w:rPr>
        <w:t>通信地址：陕西省西安市雁塔区万众国际B座18楼陕西省液化天然气产业协会。若以信函方式咨询，请在信封上注明“团体标准咨询”字样。</w:t>
      </w:r>
    </w:p>
    <w:p w14:paraId="6B0B6A05">
      <w:pPr>
        <w:spacing w:before="850" w:after="283"/>
        <w:jc w:val="center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  <w:sectPr>
          <w:headerReference r:id="rId8" w:type="default"/>
          <w:footerReference r:id="rId10" w:type="default"/>
          <w:headerReference r:id="rId9" w:type="even"/>
          <w:footerReference r:id="rId11" w:type="even"/>
          <w:pgSz w:w="11906" w:h="16838"/>
          <w:pgMar w:top="1984" w:right="1134" w:bottom="1134" w:left="1417" w:header="1417" w:footer="1134" w:gutter="0"/>
          <w:pgNumType w:start="1"/>
          <w:cols w:space="425" w:num="1"/>
          <w:docGrid w:type="lines" w:linePitch="312" w:charSpace="0"/>
        </w:sectPr>
      </w:pPr>
    </w:p>
    <w:p w14:paraId="0C9C442F">
      <w:pPr>
        <w:spacing w:before="850" w:after="680"/>
        <w:jc w:val="center"/>
        <w:outlineLvl w:val="0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天然气液化工厂安全检查导则</w:t>
      </w:r>
      <w:bookmarkEnd w:id="22"/>
      <w:bookmarkEnd w:id="23"/>
      <w:bookmarkEnd w:id="24"/>
      <w:bookmarkEnd w:id="25"/>
      <w:bookmarkEnd w:id="26"/>
      <w:bookmarkEnd w:id="27"/>
    </w:p>
    <w:p w14:paraId="61F0789E">
      <w:pPr>
        <w:spacing w:before="156" w:beforeLines="50" w:line="360" w:lineRule="auto"/>
        <w:rPr>
          <w:rFonts w:ascii="黑体" w:hAnsi="黑体" w:eastAsia="黑体" w:cs="黑体"/>
          <w:lang w:eastAsia="zh-CN"/>
        </w:rPr>
      </w:pPr>
      <w:bookmarkStart w:id="28" w:name="bookmark6"/>
      <w:bookmarkEnd w:id="28"/>
      <w:bookmarkStart w:id="29" w:name="_Toc25303"/>
      <w:bookmarkStart w:id="30" w:name="_Toc4437"/>
      <w:bookmarkStart w:id="31" w:name="_Toc21279"/>
      <w:bookmarkStart w:id="32" w:name="_Toc21932"/>
      <w:bookmarkStart w:id="33" w:name="_Toc25613"/>
      <w:bookmarkStart w:id="34" w:name="_Toc30579"/>
      <w:r>
        <w:rPr>
          <w:rFonts w:hint="eastAsia" w:ascii="黑体" w:hAnsi="黑体" w:eastAsia="黑体" w:cs="黑体"/>
          <w:lang w:eastAsia="zh-CN"/>
        </w:rPr>
        <w:t>1  范围</w:t>
      </w:r>
      <w:bookmarkEnd w:id="29"/>
      <w:bookmarkEnd w:id="30"/>
      <w:bookmarkEnd w:id="31"/>
      <w:bookmarkEnd w:id="32"/>
      <w:bookmarkEnd w:id="33"/>
      <w:bookmarkEnd w:id="34"/>
    </w:p>
    <w:p w14:paraId="6150326B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本导则旨在为天然气液化工厂的安全检查活动提供指导，明确检查程序、检查内容及要求，并提供指导性的安全检查表。</w:t>
      </w:r>
    </w:p>
    <w:p w14:paraId="5CAB17B9">
      <w:pPr>
        <w:spacing w:before="156" w:beforeLines="50"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bookmarkStart w:id="35" w:name="bookmark8"/>
      <w:bookmarkEnd w:id="35"/>
      <w:bookmarkStart w:id="36" w:name="_Toc7873"/>
      <w:bookmarkStart w:id="37" w:name="_Toc14595"/>
      <w:bookmarkStart w:id="38" w:name="_Toc20533"/>
      <w:bookmarkStart w:id="39" w:name="_Toc12700"/>
      <w:bookmarkStart w:id="40" w:name="_Toc6505"/>
      <w:bookmarkStart w:id="41" w:name="_Toc31883"/>
      <w:r>
        <w:rPr>
          <w:rFonts w:hint="eastAsia" w:asciiTheme="minorEastAsia" w:hAnsiTheme="minorEastAsia" w:eastAsiaTheme="minorEastAsia" w:cstheme="minorEastAsia"/>
          <w:lang w:eastAsia="zh-CN"/>
        </w:rPr>
        <w:t>本导则适用于以甲烷为主要成分、生产液化天然气的工厂，涵盖从原料预处理、液化、储存、运输及配套设施等的全流程安全检查。</w:t>
      </w:r>
    </w:p>
    <w:p w14:paraId="2ABA00C8">
      <w:pPr>
        <w:spacing w:before="156" w:beforeLines="50" w:line="360" w:lineRule="auto"/>
        <w:ind w:firstLine="420" w:firstLineChars="200"/>
        <w:rPr>
          <w:rFonts w:ascii="黑体" w:hAnsi="黑体" w:eastAsia="黑体" w:cs="黑体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本导则主要用于工厂内部安全检查，外部检查可参照执行。</w:t>
      </w:r>
    </w:p>
    <w:p w14:paraId="3CBCB3B3">
      <w:pPr>
        <w:spacing w:before="156" w:beforeLines="50" w:line="360" w:lineRule="auto"/>
        <w:rPr>
          <w:rFonts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2  规范性引用</w:t>
      </w:r>
      <w:bookmarkEnd w:id="36"/>
      <w:bookmarkEnd w:id="37"/>
      <w:bookmarkEnd w:id="38"/>
      <w:r>
        <w:rPr>
          <w:rFonts w:hint="eastAsia" w:ascii="黑体" w:hAnsi="黑体" w:eastAsia="黑体" w:cs="黑体"/>
          <w:lang w:eastAsia="zh-CN"/>
        </w:rPr>
        <w:t>文件</w:t>
      </w:r>
      <w:bookmarkEnd w:id="39"/>
      <w:bookmarkEnd w:id="40"/>
      <w:bookmarkEnd w:id="41"/>
    </w:p>
    <w:p w14:paraId="2E46B8F7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bookmarkStart w:id="42" w:name="bookmark10"/>
      <w:bookmarkEnd w:id="42"/>
      <w:bookmarkStart w:id="43" w:name="_Toc25362"/>
      <w:bookmarkStart w:id="44" w:name="_Toc14547"/>
      <w:bookmarkStart w:id="45" w:name="_Toc16346"/>
      <w:bookmarkStart w:id="46" w:name="_Toc3711"/>
      <w:bookmarkStart w:id="47" w:name="_Toc28147"/>
      <w:r>
        <w:rPr>
          <w:rFonts w:hint="eastAsia" w:asciiTheme="minorEastAsia" w:hAnsiTheme="minorEastAsia" w:eastAsiaTheme="minorEastAsia" w:cstheme="minorEastAsia"/>
          <w:lang w:eastAsia="zh-CN"/>
        </w:rPr>
        <w:t>规范性引用文件的应用对本文件至关重要，以下文件中的条款通过本文件的引用成为本文件的条款。下列规范性引用文件中，注日期的引用文件，仅该日期对应的版本适用于本文件；不注日期的引用文件，其最新版本（包括所有的修改单）适用于本文件。</w:t>
      </w:r>
    </w:p>
    <w:p w14:paraId="6A329486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AQ/T 3036-20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《危险化学品重大危险源罐区现场安全监控装备设置规范》</w:t>
      </w:r>
    </w:p>
    <w:p w14:paraId="3178CCBF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AQ/T 3034-2022《化工过程安全管理导则》</w:t>
      </w:r>
    </w:p>
    <w:p w14:paraId="02537CBA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DB 1331/T 046-2023《危险化学品生产企业安全生产标准化定级标准》</w:t>
      </w:r>
    </w:p>
    <w:p w14:paraId="57E4AE08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17681-2024《危险化学品重大危险源安全监控技术规范》</w:t>
      </w:r>
    </w:p>
    <w:p w14:paraId="7AF5472A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25201《建筑消防设施的维护管理》</w:t>
      </w:r>
    </w:p>
    <w:p w14:paraId="2EB81A6F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2894-2020《安全标志及其使用导则》</w:t>
      </w:r>
    </w:p>
    <w:p w14:paraId="67DAD7AF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30871-2022《危险化学品企业特殊作业安全规范》</w:t>
      </w:r>
    </w:p>
    <w:p w14:paraId="519139BA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50016-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CFCFC"/>
        </w:rPr>
        <w:t>2021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《建筑设计防火规范》</w:t>
      </w:r>
    </w:p>
    <w:p w14:paraId="4B6076A7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50019-2015《工业建筑供暖通风与空气调节设计规范》</w:t>
      </w:r>
    </w:p>
    <w:p w14:paraId="4EB4B597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50041-2008《锅炉房设计规范》</w:t>
      </w:r>
    </w:p>
    <w:p w14:paraId="05A7424B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50052-2009《供配电系统设计规范》</w:t>
      </w:r>
    </w:p>
    <w:p w14:paraId="7CA6E1F4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50053-2013《20kV及以下变电所设计规范》</w:t>
      </w:r>
    </w:p>
    <w:p w14:paraId="29373C03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50054-2011《低压配电设计规范》</w:t>
      </w:r>
    </w:p>
    <w:p w14:paraId="470607FF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50057-2010《建筑物防雷设计规范》</w:t>
      </w:r>
    </w:p>
    <w:p w14:paraId="4D6D915C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50058-2014《爆炸危险环境电气装置设计规范》</w:t>
      </w:r>
    </w:p>
    <w:p w14:paraId="7F6E5A73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50160-20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08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《石油化工企业设计防火标准》</w:t>
      </w:r>
    </w:p>
    <w:p w14:paraId="4790DA6C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50183-20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04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《石油天然气工程设计防火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规范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》</w:t>
      </w:r>
    </w:p>
    <w:p w14:paraId="1B1849C3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50444《建筑灭火器配置验收及检查规范》</w:t>
      </w:r>
    </w:p>
    <w:p w14:paraId="0DD2803B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 55029-2022《安全防范工程通用规范》</w:t>
      </w:r>
    </w:p>
    <w:p w14:paraId="5F8E085C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GB/T 7231-20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《工业管道的基本识别色、识别符号和安全标识》</w:t>
      </w:r>
    </w:p>
    <w:p w14:paraId="48B66FF3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GB/T 27921-2021《风险管理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风险评估技术》</w:t>
      </w:r>
    </w:p>
    <w:p w14:paraId="45E61288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国家安全生产监督管理总局令 第40号《危险化学品重大危险源监督管理暂行规定》</w:t>
      </w:r>
    </w:p>
    <w:p w14:paraId="2661D342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asciiTheme="minorEastAsia" w:hAnsiTheme="minorEastAsia" w:eastAsiaTheme="minorEastAsia" w:cstheme="minorEastAsia"/>
          <w:color w:val="auto"/>
          <w:lang w:eastAsia="zh-CN"/>
        </w:rPr>
        <w:t>应急管理部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令 第40号（2021）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《危险化学品企业安全风险隐患排查治理导则》</w:t>
      </w:r>
    </w:p>
    <w:p w14:paraId="11F25B61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color w:val="auto"/>
          <w:lang w:eastAsia="zh-CN"/>
        </w:rPr>
      </w:pPr>
      <w:r>
        <w:rPr>
          <w:rFonts w:asciiTheme="minorEastAsia" w:hAnsiTheme="minorEastAsia" w:eastAsiaTheme="minorEastAsia" w:cstheme="minorEastAsia"/>
          <w:color w:val="auto"/>
          <w:lang w:eastAsia="zh-CN"/>
        </w:rPr>
        <w:t>应急管理部</w:t>
      </w: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应急厅〔2024〕17号《化工企业生产过程异常工况安全处置准则》</w:t>
      </w:r>
    </w:p>
    <w:p w14:paraId="67DAE3BF">
      <w:pPr>
        <w:spacing w:before="156" w:beforeLines="50" w:line="360" w:lineRule="auto"/>
        <w:rPr>
          <w:rFonts w:ascii="黑体" w:hAnsi="黑体" w:eastAsia="黑体" w:cs="黑体"/>
          <w:lang w:eastAsia="zh-CN"/>
        </w:rPr>
      </w:pPr>
      <w:bookmarkStart w:id="48" w:name="_Toc3943"/>
      <w:r>
        <w:rPr>
          <w:rFonts w:hint="eastAsia" w:ascii="黑体" w:hAnsi="黑体" w:eastAsia="黑体" w:cs="黑体"/>
          <w:lang w:eastAsia="zh-CN"/>
        </w:rPr>
        <w:t>3  术语和定义</w:t>
      </w:r>
      <w:bookmarkEnd w:id="43"/>
      <w:bookmarkEnd w:id="44"/>
      <w:bookmarkEnd w:id="45"/>
      <w:bookmarkEnd w:id="46"/>
      <w:bookmarkEnd w:id="47"/>
      <w:bookmarkEnd w:id="48"/>
    </w:p>
    <w:p w14:paraId="6A927E28">
      <w:pPr>
        <w:spacing w:line="360" w:lineRule="auto"/>
        <w:ind w:firstLine="420" w:firstLineChars="200"/>
        <w:rPr>
          <w:rFonts w:hint="default" w:asciiTheme="minorEastAsia" w:hAnsiTheme="minorEastAsia" w:eastAsiaTheme="minorEastAsia" w:cstheme="minorEastAsia"/>
          <w:lang w:val="en-US" w:eastAsia="zh-CN"/>
        </w:rPr>
      </w:pPr>
      <w:bookmarkStart w:id="49" w:name="_Toc6976"/>
      <w:bookmarkStart w:id="50" w:name="_Toc29644"/>
      <w:bookmarkStart w:id="51" w:name="_Toc24577"/>
      <w:r>
        <w:rPr>
          <w:rFonts w:hint="eastAsia" w:asciiTheme="minorEastAsia" w:hAnsiTheme="minorEastAsia" w:eastAsiaTheme="minorEastAsia" w:cstheme="minorEastAsia"/>
          <w:lang w:val="en-US" w:eastAsia="zh-CN"/>
        </w:rPr>
        <w:t>本文件没有需要标注的术语和定义。</w:t>
      </w:r>
    </w:p>
    <w:p w14:paraId="253EB3D6">
      <w:pPr>
        <w:spacing w:before="156" w:beforeLines="50" w:line="360" w:lineRule="auto"/>
        <w:rPr>
          <w:rFonts w:ascii="黑体" w:hAnsi="黑体" w:eastAsia="黑体" w:cs="黑体"/>
          <w:lang w:eastAsia="zh-CN"/>
        </w:rPr>
      </w:pPr>
      <w:bookmarkStart w:id="52" w:name="_Toc5248"/>
      <w:r>
        <w:rPr>
          <w:rFonts w:hint="eastAsia" w:ascii="黑体" w:hAnsi="黑体" w:eastAsia="黑体" w:cs="黑体"/>
          <w:lang w:eastAsia="zh-CN"/>
        </w:rPr>
        <w:t>4</w:t>
      </w:r>
      <w:bookmarkEnd w:id="49"/>
      <w:bookmarkEnd w:id="50"/>
      <w:r>
        <w:rPr>
          <w:rFonts w:hint="eastAsia" w:ascii="黑体" w:hAnsi="黑体" w:eastAsia="黑体" w:cs="黑体"/>
          <w:lang w:eastAsia="zh-CN"/>
        </w:rPr>
        <w:t xml:space="preserve">  安全检查的基本要求</w:t>
      </w:r>
      <w:bookmarkEnd w:id="52"/>
    </w:p>
    <w:bookmarkEnd w:id="51"/>
    <w:p w14:paraId="5F681DC2">
      <w:pPr>
        <w:spacing w:before="156" w:beforeLines="50" w:line="360" w:lineRule="auto"/>
        <w:ind w:firstLine="210" w:firstLineChars="100"/>
        <w:rPr>
          <w:rFonts w:hint="eastAsia" w:ascii="黑体" w:hAnsi="黑体" w:eastAsia="黑体" w:cs="黑体"/>
          <w:lang w:val="en-US" w:eastAsia="zh-CN"/>
        </w:rPr>
      </w:pPr>
      <w:bookmarkStart w:id="53" w:name="_Toc8169"/>
      <w:bookmarkStart w:id="54" w:name="_Toc18726"/>
      <w:r>
        <w:rPr>
          <w:rFonts w:hint="eastAsia" w:ascii="黑体" w:hAnsi="黑体" w:eastAsia="黑体" w:cs="黑体"/>
          <w:lang w:val="en-US" w:eastAsia="zh-CN"/>
        </w:rPr>
        <w:t>4.1 总体原则</w:t>
      </w:r>
    </w:p>
    <w:p w14:paraId="01AE73A8">
      <w:pPr>
        <w:spacing w:line="360" w:lineRule="auto"/>
        <w:ind w:firstLine="420" w:firstLineChars="20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安全检查应遵循“全员参与、分级管控、闭环管理”原则。</w:t>
      </w:r>
    </w:p>
    <w:p w14:paraId="1615E2F7">
      <w:pPr>
        <w:spacing w:before="156" w:beforeLines="50" w:line="360" w:lineRule="auto"/>
        <w:ind w:firstLine="210" w:firstLineChars="1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4.2 检查频次</w:t>
      </w:r>
    </w:p>
    <w:p w14:paraId="6F6BD2E0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工厂应结合自身规模、工艺复杂性、设备状况和历史事故数据等确定检查频次。具体如下：</w:t>
      </w:r>
    </w:p>
    <w:tbl>
      <w:tblPr>
        <w:tblStyle w:val="19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654"/>
        <w:gridCol w:w="3223"/>
      </w:tblGrid>
      <w:tr w14:paraId="414B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361" w:type="dxa"/>
            <w:vAlign w:val="center"/>
          </w:tcPr>
          <w:p w14:paraId="091154A5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查</w:t>
            </w:r>
          </w:p>
        </w:tc>
        <w:tc>
          <w:tcPr>
            <w:tcW w:w="2654" w:type="dxa"/>
            <w:vAlign w:val="center"/>
          </w:tcPr>
          <w:p w14:paraId="0FB21247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</w:t>
            </w:r>
          </w:p>
        </w:tc>
        <w:tc>
          <w:tcPr>
            <w:tcW w:w="3223" w:type="dxa"/>
            <w:vAlign w:val="center"/>
          </w:tcPr>
          <w:p w14:paraId="09837575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</w:t>
            </w:r>
          </w:p>
        </w:tc>
      </w:tr>
      <w:tr w14:paraId="2935D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361" w:type="dxa"/>
            <w:vAlign w:val="center"/>
          </w:tcPr>
          <w:p w14:paraId="6F4F3998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1次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/天</w:t>
            </w:r>
          </w:p>
        </w:tc>
        <w:tc>
          <w:tcPr>
            <w:tcW w:w="2654" w:type="dxa"/>
            <w:vAlign w:val="center"/>
          </w:tcPr>
          <w:p w14:paraId="7375E458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≥1次/季度</w:t>
            </w:r>
          </w:p>
        </w:tc>
        <w:tc>
          <w:tcPr>
            <w:tcW w:w="3223" w:type="dxa"/>
            <w:vAlign w:val="center"/>
          </w:tcPr>
          <w:p w14:paraId="14D849EF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根据需要适时开展</w:t>
            </w:r>
          </w:p>
        </w:tc>
      </w:tr>
    </w:tbl>
    <w:p w14:paraId="7E879712">
      <w:pPr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</w:p>
    <w:p w14:paraId="75AE9422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日常检查：</w:t>
      </w:r>
      <w:r>
        <w:rPr>
          <w:rFonts w:hint="eastAsia" w:asciiTheme="minorEastAsia" w:hAnsiTheme="minorEastAsia" w:eastAsiaTheme="minorEastAsia" w:cstheme="minorEastAsia"/>
          <w:lang w:eastAsia="zh-CN"/>
        </w:rPr>
        <w:t>聚焦设备运行状态、操作规范和明显隐患，检查设备参数、外观及人员操作等。</w:t>
      </w:r>
    </w:p>
    <w:p w14:paraId="36ABF0F5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综合性检查：</w:t>
      </w:r>
      <w:r>
        <w:rPr>
          <w:rFonts w:hint="eastAsia" w:asciiTheme="minorEastAsia" w:hAnsiTheme="minorEastAsia" w:eastAsiaTheme="minorEastAsia" w:cstheme="minorEastAsia"/>
          <w:lang w:eastAsia="zh-CN"/>
        </w:rPr>
        <w:t>以安全生产责任制、各项专业管理制度、安全生产管理制度和化工过程安全管理各要素落实情况为基础，涵盖工厂各系统和环节，包括工艺、设备、电气、仪表、储运、消防和公用工程等专业。</w:t>
      </w:r>
    </w:p>
    <w:p w14:paraId="1070CB89">
      <w:pPr>
        <w:spacing w:line="360" w:lineRule="auto"/>
        <w:ind w:firstLine="422" w:firstLineChars="20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专项检查：</w:t>
      </w:r>
      <w:r>
        <w:rPr>
          <w:rFonts w:hint="eastAsia" w:asciiTheme="minorEastAsia" w:hAnsiTheme="minorEastAsia" w:eastAsiaTheme="minorEastAsia" w:cstheme="minorEastAsia"/>
          <w:lang w:eastAsia="zh-CN"/>
        </w:rPr>
        <w:t>包含季节性检查、重点时段及节假日前检查、复产复工前检查等。</w:t>
      </w:r>
    </w:p>
    <w:p w14:paraId="1D5BEAAB">
      <w:pPr>
        <w:spacing w:before="156" w:beforeLines="50" w:line="360" w:lineRule="auto"/>
        <w:ind w:firstLine="420" w:firstLineChars="20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重大危险源的检查频次应参照《危险化学品企业安全风险隐患排查治理导则》规定执行。</w:t>
      </w:r>
    </w:p>
    <w:p w14:paraId="0D02020C">
      <w:pPr>
        <w:spacing w:before="156" w:beforeLines="50" w:line="360" w:lineRule="auto"/>
        <w:ind w:firstLine="210" w:firstLineChars="100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4.3 检查工具</w:t>
      </w:r>
    </w:p>
    <w:p w14:paraId="67996507">
      <w:pPr>
        <w:spacing w:before="156" w:beforeLines="50" w:line="360" w:lineRule="auto"/>
        <w:ind w:firstLine="420" w:firstLineChars="20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4.3.1 常规工具</w:t>
      </w:r>
    </w:p>
    <w:p w14:paraId="2C0592BA">
      <w:pPr>
        <w:spacing w:line="360" w:lineRule="auto"/>
        <w:ind w:firstLine="630" w:firstLineChars="3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针对不同类型安全检查，宜配备相应专业工具。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1"/>
        <w:gridCol w:w="4858"/>
      </w:tblGrid>
      <w:tr w14:paraId="36704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tblHeader/>
        </w:trPr>
        <w:tc>
          <w:tcPr>
            <w:tcW w:w="3561" w:type="dxa"/>
            <w:vAlign w:val="center"/>
          </w:tcPr>
          <w:p w14:paraId="247BCABD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检查工具</w:t>
            </w:r>
          </w:p>
        </w:tc>
        <w:tc>
          <w:tcPr>
            <w:tcW w:w="4858" w:type="dxa"/>
            <w:vAlign w:val="center"/>
          </w:tcPr>
          <w:p w14:paraId="518CFC7D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检查环节</w:t>
            </w:r>
          </w:p>
        </w:tc>
      </w:tr>
      <w:tr w14:paraId="721C5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561" w:type="dxa"/>
            <w:vAlign w:val="center"/>
          </w:tcPr>
          <w:p w14:paraId="696D3180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红外测温仪</w:t>
            </w:r>
          </w:p>
        </w:tc>
        <w:tc>
          <w:tcPr>
            <w:tcW w:w="4858" w:type="dxa"/>
            <w:vAlign w:val="center"/>
          </w:tcPr>
          <w:p w14:paraId="26ECE035">
            <w:pPr>
              <w:widowControl/>
              <w:jc w:val="left"/>
              <w:rPr>
                <w:rStyle w:val="21"/>
                <w:rFonts w:hint="default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运行状态、各工艺单元、</w:t>
            </w: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电气、仪表、消防、其他设施安全检查</w:t>
            </w:r>
          </w:p>
        </w:tc>
      </w:tr>
      <w:tr w14:paraId="00E6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561" w:type="dxa"/>
            <w:vAlign w:val="center"/>
          </w:tcPr>
          <w:p w14:paraId="59200D24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振动检测仪</w:t>
            </w:r>
          </w:p>
        </w:tc>
        <w:tc>
          <w:tcPr>
            <w:tcW w:w="4858" w:type="dxa"/>
            <w:vAlign w:val="center"/>
          </w:tcPr>
          <w:p w14:paraId="4AC246F1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运行状态、各工艺单元、</w:t>
            </w: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电气、仪表安全检查</w:t>
            </w:r>
          </w:p>
        </w:tc>
      </w:tr>
      <w:tr w14:paraId="69A4B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561" w:type="dxa"/>
            <w:vAlign w:val="center"/>
          </w:tcPr>
          <w:p w14:paraId="34B9A69F">
            <w:pPr>
              <w:widowControl/>
              <w:jc w:val="left"/>
              <w:rPr>
                <w:rStyle w:val="21"/>
                <w:rFonts w:hint="default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听针</w:t>
            </w:r>
          </w:p>
        </w:tc>
        <w:tc>
          <w:tcPr>
            <w:tcW w:w="4858" w:type="dxa"/>
            <w:vAlign w:val="center"/>
          </w:tcPr>
          <w:p w14:paraId="6C793A90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运行状态、各工艺单元、</w:t>
            </w: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电气、仪表安全检查</w:t>
            </w:r>
          </w:p>
        </w:tc>
      </w:tr>
      <w:tr w14:paraId="09C47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561" w:type="dxa"/>
            <w:vAlign w:val="center"/>
          </w:tcPr>
          <w:p w14:paraId="0A25AA8B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气体检测仪</w:t>
            </w:r>
          </w:p>
        </w:tc>
        <w:tc>
          <w:tcPr>
            <w:tcW w:w="4858" w:type="dxa"/>
            <w:vAlign w:val="center"/>
          </w:tcPr>
          <w:p w14:paraId="1F32DC30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运行状态、各工艺单元</w:t>
            </w: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、仪表、消防、其他设施安全检查</w:t>
            </w:r>
          </w:p>
        </w:tc>
      </w:tr>
      <w:tr w14:paraId="1A16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561" w:type="dxa"/>
            <w:vAlign w:val="center"/>
          </w:tcPr>
          <w:p w14:paraId="1E0B6EE7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气相色谱仪（用于组分检测）</w:t>
            </w:r>
          </w:p>
        </w:tc>
        <w:tc>
          <w:tcPr>
            <w:tcW w:w="4858" w:type="dxa"/>
            <w:vAlign w:val="center"/>
          </w:tcPr>
          <w:p w14:paraId="2AEB26EC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各工艺单元</w:t>
            </w: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安全检查</w:t>
            </w:r>
          </w:p>
        </w:tc>
      </w:tr>
      <w:tr w14:paraId="55F8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561" w:type="dxa"/>
            <w:vAlign w:val="center"/>
          </w:tcPr>
          <w:p w14:paraId="317B2E42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绝缘电阻测试仪</w:t>
            </w:r>
          </w:p>
        </w:tc>
        <w:tc>
          <w:tcPr>
            <w:tcW w:w="4858" w:type="dxa"/>
            <w:vAlign w:val="center"/>
          </w:tcPr>
          <w:p w14:paraId="5720298D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电气、仪表安全检查</w:t>
            </w:r>
          </w:p>
        </w:tc>
      </w:tr>
      <w:tr w14:paraId="3290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561" w:type="dxa"/>
            <w:vAlign w:val="center"/>
          </w:tcPr>
          <w:p w14:paraId="5B2A6122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万用表</w:t>
            </w:r>
          </w:p>
        </w:tc>
        <w:tc>
          <w:tcPr>
            <w:tcW w:w="4858" w:type="dxa"/>
            <w:vAlign w:val="center"/>
          </w:tcPr>
          <w:p w14:paraId="59AB9B38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电气、仪表安全检查</w:t>
            </w:r>
          </w:p>
        </w:tc>
      </w:tr>
      <w:tr w14:paraId="3237B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561" w:type="dxa"/>
            <w:vAlign w:val="center"/>
          </w:tcPr>
          <w:p w14:paraId="26F85CED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接地电阻测试仪</w:t>
            </w:r>
          </w:p>
        </w:tc>
        <w:tc>
          <w:tcPr>
            <w:tcW w:w="4858" w:type="dxa"/>
            <w:vAlign w:val="center"/>
          </w:tcPr>
          <w:p w14:paraId="1722CB64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电气、仪表安全检查</w:t>
            </w:r>
          </w:p>
        </w:tc>
      </w:tr>
      <w:tr w14:paraId="33F3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561" w:type="dxa"/>
            <w:vAlign w:val="center"/>
          </w:tcPr>
          <w:p w14:paraId="2C10F6B1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测距仪</w:t>
            </w:r>
          </w:p>
        </w:tc>
        <w:tc>
          <w:tcPr>
            <w:tcW w:w="4858" w:type="dxa"/>
            <w:vAlign w:val="center"/>
          </w:tcPr>
          <w:p w14:paraId="22313DCB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消防、安全标志检查</w:t>
            </w:r>
          </w:p>
        </w:tc>
      </w:tr>
      <w:tr w14:paraId="72C2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561" w:type="dxa"/>
            <w:vAlign w:val="center"/>
          </w:tcPr>
          <w:p w14:paraId="4CAF6A43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温湿度计</w:t>
            </w:r>
          </w:p>
        </w:tc>
        <w:tc>
          <w:tcPr>
            <w:tcW w:w="4858" w:type="dxa"/>
            <w:vAlign w:val="center"/>
          </w:tcPr>
          <w:p w14:paraId="617BA44E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  <w:t>其他设施安全检查</w:t>
            </w:r>
          </w:p>
        </w:tc>
      </w:tr>
      <w:tr w14:paraId="2ADE2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3561" w:type="dxa"/>
            <w:vAlign w:val="center"/>
          </w:tcPr>
          <w:p w14:paraId="3C84E93F">
            <w:pPr>
              <w:widowControl/>
              <w:jc w:val="left"/>
              <w:rPr>
                <w:rStyle w:val="21"/>
                <w:rFonts w:hint="default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</w:pPr>
            <w:r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val="en-US" w:eastAsia="zh-CN" w:bidi="ar"/>
              </w:rPr>
              <w:t>超声波检漏仪</w:t>
            </w:r>
          </w:p>
        </w:tc>
        <w:tc>
          <w:tcPr>
            <w:tcW w:w="4858" w:type="dxa"/>
            <w:vAlign w:val="center"/>
          </w:tcPr>
          <w:p w14:paraId="1F4575E7">
            <w:pPr>
              <w:widowControl/>
              <w:jc w:val="left"/>
              <w:rPr>
                <w:rStyle w:val="21"/>
                <w:rFonts w:hint="eastAsia" w:ascii="Segoe UI" w:hAnsi="Segoe UI" w:eastAsia="Segoe UI" w:cs="Segoe UI"/>
                <w:b w:val="0"/>
                <w:bCs/>
                <w:sz w:val="19"/>
                <w:szCs w:val="19"/>
                <w:lang w:eastAsia="zh-CN" w:bidi="ar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19"/>
                <w:szCs w:val="19"/>
                <w:shd w:val="clear" w:fill="FFFFFF"/>
              </w:rPr>
              <w:t>各工艺单元、电气、仪表安全检查</w:t>
            </w:r>
          </w:p>
        </w:tc>
      </w:tr>
    </w:tbl>
    <w:p w14:paraId="2EF1DDB7">
      <w:pPr>
        <w:spacing w:line="360" w:lineRule="auto"/>
        <w:rPr>
          <w:rFonts w:asciiTheme="minorEastAsia" w:hAnsiTheme="minorEastAsia" w:eastAsiaTheme="minorEastAsia" w:cstheme="minorEastAsia"/>
          <w:lang w:eastAsia="zh-CN"/>
        </w:rPr>
      </w:pPr>
    </w:p>
    <w:p w14:paraId="4F034124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检查工具应每半年进行一次校准。定期评估检查工具清单，根据工具技术发展动态更新工具清单。</w:t>
      </w:r>
    </w:p>
    <w:p w14:paraId="398463D5">
      <w:pPr>
        <w:spacing w:before="156" w:beforeLines="50" w:line="360" w:lineRule="auto"/>
        <w:ind w:firstLine="420" w:firstLineChars="20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当出现更精准、更高效的新型检查工具时，经评估后可纳入本标准的工具清单。新工具引入需经过申请、测试、审批等流程，确保其能有效应用于安全检查工作。</w:t>
      </w:r>
    </w:p>
    <w:p w14:paraId="2D0A31B2">
      <w:pPr>
        <w:spacing w:before="156" w:beforeLines="50" w:line="360" w:lineRule="auto"/>
        <w:ind w:firstLine="42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 4.3.2 数字化工具应用</w:t>
      </w:r>
    </w:p>
    <w:p w14:paraId="21597B52">
      <w:pPr>
        <w:spacing w:before="156" w:beforeLines="50" w:line="360" w:lineRule="auto"/>
        <w:ind w:firstLine="630" w:firstLineChars="30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鼓励采用物联网传感器、视频监控等技术实时监测关键参数，检查结果应与数字化平台联动。</w:t>
      </w:r>
    </w:p>
    <w:p w14:paraId="7185D847">
      <w:pPr>
        <w:spacing w:before="156" w:beforeLines="50" w:line="360" w:lineRule="auto"/>
        <w:ind w:firstLine="210" w:firstLineChars="100"/>
        <w:rPr>
          <w:rFonts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4.</w:t>
      </w:r>
      <w:r>
        <w:rPr>
          <w:rFonts w:hint="eastAsia" w:ascii="黑体" w:hAnsi="黑体" w:eastAsia="黑体" w:cs="黑体"/>
          <w:lang w:val="en-US" w:eastAsia="zh-CN"/>
        </w:rPr>
        <w:t>4</w:t>
      </w:r>
      <w:r>
        <w:rPr>
          <w:rFonts w:hint="eastAsia" w:ascii="黑体" w:hAnsi="黑体" w:eastAsia="黑体" w:cs="黑体"/>
          <w:lang w:eastAsia="zh-CN"/>
        </w:rPr>
        <w:t xml:space="preserve">  检查人员</w:t>
      </w:r>
      <w:bookmarkEnd w:id="53"/>
      <w:bookmarkEnd w:id="54"/>
    </w:p>
    <w:p w14:paraId="36C71D32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应由企业指定的检查负责人组织检查人员，应至少包含：安全管理、工艺、电气、设备、仪表、消防、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土建</w:t>
      </w:r>
      <w:r>
        <w:rPr>
          <w:rFonts w:hint="eastAsia" w:asciiTheme="minorEastAsia" w:hAnsiTheme="minorEastAsia" w:eastAsiaTheme="minorEastAsia" w:cstheme="minorEastAsia"/>
          <w:lang w:eastAsia="zh-CN"/>
        </w:rPr>
        <w:t>等相关专业人员。</w:t>
      </w:r>
    </w:p>
    <w:p w14:paraId="0FB7D551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安全检查人员应熟悉国家法规标准、企业安全管理制度，应具备工厂建设、运行、管理等经验。</w:t>
      </w:r>
    </w:p>
    <w:p w14:paraId="1A7F4936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.1  专业要求</w:t>
      </w:r>
    </w:p>
    <w:p w14:paraId="20286CB8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安全管理检查人员：</w:t>
      </w:r>
      <w:r>
        <w:rPr>
          <w:rFonts w:hint="eastAsia" w:asciiTheme="minorEastAsia" w:hAnsiTheme="minorEastAsia" w:eastAsiaTheme="minorEastAsia" w:cstheme="minorEastAsia"/>
          <w:lang w:eastAsia="zh-CN"/>
        </w:rPr>
        <w:t>熟悉国家安全生产法律法规、行业标准及企业安全管理制度；具备风险评估、隐患排查及应急管理能力；能够组织并实施安全检查，监督整改措施的落实。</w:t>
      </w:r>
    </w:p>
    <w:p w14:paraId="49DF88FD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工艺检查人员：</w:t>
      </w:r>
      <w:r>
        <w:rPr>
          <w:rFonts w:hint="eastAsia" w:asciiTheme="minorEastAsia" w:hAnsiTheme="minorEastAsia" w:eastAsiaTheme="minorEastAsia" w:cstheme="minorEastAsia"/>
          <w:lang w:eastAsia="zh-CN"/>
        </w:rPr>
        <w:t>熟悉液化天然气生产工艺原理、流程及关键控制点；能够依据工艺文件判断运行状况，识别工艺安全风险；掌握工艺参数异常的处理方法及应急措施。</w:t>
      </w:r>
    </w:p>
    <w:p w14:paraId="1F9729F4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电气检查人员：</w:t>
      </w:r>
      <w:r>
        <w:rPr>
          <w:rFonts w:hint="eastAsia" w:asciiTheme="minorEastAsia" w:hAnsiTheme="minorEastAsia" w:eastAsiaTheme="minorEastAsia" w:cstheme="minorEastAsia"/>
          <w:lang w:eastAsia="zh-CN"/>
        </w:rPr>
        <w:t>熟悉电气安全知识及工厂电气系统设计规范；掌握电气设备的检查要点及检测方法；能够判断电气设备的安全隐患并提出整改建议。</w:t>
      </w:r>
    </w:p>
    <w:p w14:paraId="05313988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设备检查人员：</w:t>
      </w:r>
      <w:r>
        <w:rPr>
          <w:rFonts w:hint="eastAsia" w:asciiTheme="minorEastAsia" w:hAnsiTheme="minorEastAsia" w:eastAsiaTheme="minorEastAsia" w:cstheme="minorEastAsia"/>
          <w:lang w:eastAsia="zh-CN"/>
        </w:rPr>
        <w:t>熟悉工厂各类设备的运行特性及维护保养要求；掌握设备故障诊断方法及安全附件的检查要点；能够识别设备运行中的异常情况并提出改进措施。</w:t>
      </w:r>
    </w:p>
    <w:p w14:paraId="4C78B93F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仪表检查人员：</w:t>
      </w:r>
      <w:r>
        <w:rPr>
          <w:rFonts w:hint="eastAsia" w:asciiTheme="minorEastAsia" w:hAnsiTheme="minorEastAsia" w:eastAsiaTheme="minorEastAsia" w:cstheme="minorEastAsia"/>
          <w:lang w:eastAsia="zh-CN"/>
        </w:rPr>
        <w:t>熟悉仪表及控制系统的原理、功能及维护要求；掌握仪表的校准、检测及故障排查方法；能够判断仪表系统的安全隐患并提出整改建议。</w:t>
      </w:r>
    </w:p>
    <w:p w14:paraId="4E67917C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消防检查人员：</w:t>
      </w:r>
      <w:r>
        <w:rPr>
          <w:rFonts w:hint="eastAsia" w:asciiTheme="minorEastAsia" w:hAnsiTheme="minorEastAsia" w:eastAsiaTheme="minorEastAsia" w:cstheme="minorEastAsia"/>
          <w:lang w:eastAsia="zh-CN"/>
        </w:rPr>
        <w:t>熟悉消防设施的设计规范及维护要求；掌握消防设备的检查方法；能够识别消防安全隐患并提出整改建议。</w:t>
      </w:r>
    </w:p>
    <w:p w14:paraId="76451597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其他设施检查人员（土建安全方向）：</w:t>
      </w:r>
      <w:r>
        <w:rPr>
          <w:rFonts w:hint="eastAsia" w:asciiTheme="minorEastAsia" w:hAnsiTheme="minorEastAsia" w:eastAsiaTheme="minorEastAsia" w:cstheme="minorEastAsia"/>
          <w:lang w:eastAsia="zh-CN"/>
        </w:rPr>
        <w:t>熟悉土建相关安全法规标准、工厂土建设施设计及施工要求，掌握检查要点与隐患判别方法；能指导设施维护，协同各专业开展工作，处理应急情况。</w:t>
      </w:r>
    </w:p>
    <w:p w14:paraId="535A3000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.2  培训要求</w:t>
      </w:r>
    </w:p>
    <w:p w14:paraId="45F04A70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bookmarkStart w:id="55" w:name="_Toc32187"/>
      <w:bookmarkStart w:id="56" w:name="_Toc10997"/>
      <w:r>
        <w:rPr>
          <w:rFonts w:hint="eastAsia" w:asciiTheme="minorEastAsia" w:hAnsiTheme="minorEastAsia" w:eastAsiaTheme="minorEastAsia" w:cstheme="minorEastAsia"/>
          <w:lang w:eastAsia="zh-CN"/>
        </w:rPr>
        <w:t>检查人员应接受专门培训，培训内容包括但不限于：</w:t>
      </w:r>
    </w:p>
    <w:p w14:paraId="2E648DBE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安全检查方法：</w:t>
      </w:r>
      <w:r>
        <w:rPr>
          <w:rFonts w:hint="eastAsia" w:asciiTheme="minorEastAsia" w:hAnsiTheme="minorEastAsia" w:eastAsiaTheme="minorEastAsia" w:cstheme="minorEastAsia"/>
          <w:lang w:eastAsia="zh-CN"/>
        </w:rPr>
        <w:t>包括检查程序、检查工具使用、检查表填写等；</w:t>
      </w:r>
    </w:p>
    <w:p w14:paraId="629E90CE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法规标准：</w:t>
      </w:r>
      <w:r>
        <w:rPr>
          <w:rFonts w:hint="eastAsia" w:asciiTheme="minorEastAsia" w:hAnsiTheme="minorEastAsia" w:eastAsiaTheme="minorEastAsia" w:cstheme="minorEastAsia"/>
          <w:lang w:eastAsia="zh-CN"/>
        </w:rPr>
        <w:t>包括国家安全生产法律法规、行业标准及企业安全管理制度；</w:t>
      </w:r>
    </w:p>
    <w:p w14:paraId="7826266B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工厂特点及风险点：</w:t>
      </w:r>
      <w:r>
        <w:rPr>
          <w:rFonts w:hint="eastAsia" w:asciiTheme="minorEastAsia" w:hAnsiTheme="minorEastAsia" w:eastAsiaTheme="minorEastAsia" w:cstheme="minorEastAsia"/>
          <w:lang w:eastAsia="zh-CN"/>
        </w:rPr>
        <w:t>包括液化天然气生产工艺流程、设备特性、危险源分布等；</w:t>
      </w:r>
    </w:p>
    <w:p w14:paraId="6A9CD32D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应急管理：</w:t>
      </w:r>
      <w:r>
        <w:rPr>
          <w:rFonts w:hint="eastAsia" w:asciiTheme="minorEastAsia" w:hAnsiTheme="minorEastAsia" w:eastAsiaTheme="minorEastAsia" w:cstheme="minorEastAsia"/>
          <w:lang w:eastAsia="zh-CN"/>
        </w:rPr>
        <w:t>包括应急预案、应急演练及应急处置方法。</w:t>
      </w:r>
    </w:p>
    <w:p w14:paraId="1D5E4C60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培训应包含理论与实践两部分，培训结束后需进行考核，考核合格者方可参与安全检查工作。</w:t>
      </w:r>
    </w:p>
    <w:p w14:paraId="45A4CF59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.3 检查人员资质</w:t>
      </w:r>
    </w:p>
    <w:p w14:paraId="5EB36651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检查人员应具备以下资质：</w:t>
      </w:r>
    </w:p>
    <w:p w14:paraId="23691B3A">
      <w:pPr>
        <w:spacing w:line="360" w:lineRule="auto"/>
        <w:ind w:firstLine="420" w:firstLineChars="200"/>
        <w:rPr>
          <w:rFonts w:ascii="黑体" w:hAnsi="黑体" w:eastAsia="黑体" w:cs="黑体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液化天然气行业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及所检查岗位</w:t>
      </w:r>
      <w:r>
        <w:rPr>
          <w:rFonts w:hint="eastAsia" w:asciiTheme="minorEastAsia" w:hAnsiTheme="minorEastAsia" w:eastAsiaTheme="minorEastAsia" w:cstheme="minorEastAsia"/>
          <w:lang w:eastAsia="zh-CN"/>
        </w:rPr>
        <w:t>工作经验（不少于1年）；</w:t>
      </w:r>
    </w:p>
    <w:p w14:paraId="54AFAFE4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通过企业组织的安全检查培训并取得合格证书。</w:t>
      </w:r>
      <w:bookmarkEnd w:id="55"/>
      <w:bookmarkEnd w:id="56"/>
      <w:bookmarkStart w:id="57" w:name="_Toc30188"/>
    </w:p>
    <w:p w14:paraId="72FBA9F2">
      <w:pPr>
        <w:spacing w:before="156" w:beforeLines="50" w:line="360" w:lineRule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val="en-US" w:eastAsia="zh-CN"/>
        </w:rPr>
        <w:t>5</w:t>
      </w:r>
      <w:r>
        <w:rPr>
          <w:rFonts w:hint="eastAsia" w:ascii="黑体" w:hAnsi="黑体" w:eastAsia="黑体" w:cs="黑体"/>
          <w:lang w:eastAsia="zh-CN"/>
        </w:rPr>
        <w:t xml:space="preserve"> 风险分级</w:t>
      </w:r>
    </w:p>
    <w:p w14:paraId="07D445DC">
      <w:pPr>
        <w:spacing w:before="156" w:beforeLines="50" w:line="360" w:lineRule="auto"/>
        <w:ind w:firstLine="210" w:firstLineChars="10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5.1分级依据</w:t>
      </w:r>
    </w:p>
    <w:p w14:paraId="69EF45BA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企业应依据国家现行法规及行业政策，结合自身生产特点和管理要求，通过以下维度综合判定风险等级：</w:t>
      </w:r>
    </w:p>
    <w:p w14:paraId="7709CE9B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事故后果严重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性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lang w:eastAsia="zh-CN"/>
        </w:rPr>
        <w:t>包括人员伤亡、财产损失、环境影响等。</w:t>
      </w:r>
    </w:p>
    <w:p w14:paraId="4E47FB28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隐患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发生可能性：</w:t>
      </w:r>
      <w:r>
        <w:rPr>
          <w:rFonts w:hint="eastAsia" w:asciiTheme="minorEastAsia" w:hAnsiTheme="minorEastAsia" w:eastAsiaTheme="minorEastAsia" w:cstheme="minorEastAsia"/>
          <w:lang w:eastAsia="zh-CN"/>
        </w:rPr>
        <w:t>基于历史数据、设备状态、工艺条件等评估。</w:t>
      </w:r>
    </w:p>
    <w:p w14:paraId="3A7B0845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现有控制措施有效性：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针对已采取的安全管理措施和技术防护进行评价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。</w:t>
      </w:r>
    </w:p>
    <w:p w14:paraId="3C49F0B5">
      <w:pPr>
        <w:spacing w:before="156" w:beforeLines="50" w:line="360" w:lineRule="auto"/>
        <w:ind w:firstLine="210" w:firstLineChars="10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5.2分级应用要求</w:t>
      </w:r>
    </w:p>
    <w:bookmarkEnd w:id="57"/>
    <w:p w14:paraId="20D04506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bookmarkStart w:id="58" w:name="_Toc20032"/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风险分级结果应贯穿企业安全检查各环节，并用于：</w:t>
      </w:r>
    </w:p>
    <w:p w14:paraId="7B6667CC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A.制定差异化检查计划，明确检查频次与范围。</w:t>
      </w:r>
    </w:p>
    <w:p w14:paraId="76F7CBF9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B.识别重点管控领域，优化资源配置。</w:t>
      </w:r>
    </w:p>
    <w:p w14:paraId="4D924004">
      <w:pPr>
        <w:spacing w:line="360" w:lineRule="auto"/>
        <w:ind w:firstLine="420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C 建立整改优先级，推动隐患闭环管理。</w:t>
      </w:r>
    </w:p>
    <w:p w14:paraId="6F1966B3">
      <w:pPr>
        <w:spacing w:before="156" w:beforeLines="50" w:line="360" w:lineRule="auto"/>
        <w:rPr>
          <w:rFonts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val="en-US" w:eastAsia="zh-CN"/>
        </w:rPr>
        <w:t>6</w:t>
      </w:r>
      <w:r>
        <w:rPr>
          <w:rFonts w:hint="eastAsia" w:ascii="黑体" w:hAnsi="黑体" w:eastAsia="黑体" w:cs="黑体"/>
          <w:lang w:eastAsia="zh-CN"/>
        </w:rPr>
        <w:t xml:space="preserve">  检查实施</w:t>
      </w:r>
      <w:bookmarkEnd w:id="58"/>
    </w:p>
    <w:p w14:paraId="3C85D64A">
      <w:pPr>
        <w:spacing w:line="360" w:lineRule="auto"/>
        <w:ind w:firstLine="210" w:firstLineChars="1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bookmarkStart w:id="59" w:name="_Toc5798"/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.1 检查前准备</w:t>
      </w:r>
    </w:p>
    <w:p w14:paraId="757AB90F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.1.1 制定检查计划</w:t>
      </w:r>
    </w:p>
    <w:p w14:paraId="001A6F09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根据工厂生产工艺复杂程度、设备状况、风险评估结果等制定检查计划，明确目的、范围、内容、方法、时间及人员分工。</w:t>
      </w:r>
    </w:p>
    <w:p w14:paraId="1122660B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每年结合工厂变化订计划，新设备或工艺投入运行，设备大修投用后，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应</w:t>
      </w:r>
      <w:r>
        <w:rPr>
          <w:rFonts w:hint="eastAsia" w:asciiTheme="minorEastAsia" w:hAnsiTheme="minorEastAsia" w:eastAsiaTheme="minorEastAsia" w:cstheme="minorEastAsia"/>
          <w:lang w:eastAsia="zh-CN"/>
        </w:rPr>
        <w:t>增加对应检查内容并调整频次。计划制定过程中，要充分考虑不同区域和设备的风险等级，合理安排检查人员和时间。</w:t>
      </w:r>
    </w:p>
    <w:p w14:paraId="6FB16932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.1.2 收集相关资料</w:t>
      </w:r>
    </w:p>
    <w:p w14:paraId="041D8A07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全面收集工厂各类资料，包括设计文件、管理制度、应急预案、操作规程、人员证件等。建立资料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管理台账，分类登记资料信息。</w:t>
      </w:r>
    </w:p>
    <w:p w14:paraId="7C44D295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.1.3 准备检查工具</w:t>
      </w:r>
    </w:p>
    <w:p w14:paraId="774F8620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依据检查项目按4.2规定准备工具，并在检查前按规范进行校准，确保工具精度和可靠性。同时，检查工具的存储和运输应符合相关要求，避免工具损坏或精度受影响。</w:t>
      </w:r>
    </w:p>
    <w:p w14:paraId="40D97E53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.1.4 培训检查人员</w:t>
      </w:r>
    </w:p>
    <w:p w14:paraId="72D00400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根据检查类型，确定符合4.1检查人</w:t>
      </w:r>
      <w:r>
        <w:rPr>
          <w:rFonts w:hint="eastAsia" w:asciiTheme="minorEastAsia" w:hAnsiTheme="minorEastAsia" w:eastAsiaTheme="minorEastAsia" w:cstheme="minorEastAsia"/>
          <w:color w:val="auto"/>
          <w:lang w:eastAsia="zh-CN"/>
        </w:rPr>
        <w:t>员要求规</w:t>
      </w:r>
      <w:r>
        <w:rPr>
          <w:rFonts w:hint="eastAsia" w:asciiTheme="minorEastAsia" w:hAnsiTheme="minorEastAsia" w:eastAsiaTheme="minorEastAsia" w:cstheme="minorEastAsia"/>
          <w:lang w:eastAsia="zh-CN"/>
        </w:rPr>
        <w:t>定的检查人员。在检查前，针对本次检查的重点和难点，对检查人员进行专项培训，确保检查人员熟悉检查内容和要求。</w:t>
      </w:r>
    </w:p>
    <w:p w14:paraId="0AEC2711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.1.5 风险告知</w:t>
      </w:r>
    </w:p>
    <w:p w14:paraId="58BFDE9E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检查前向被检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部门</w:t>
      </w:r>
      <w:r>
        <w:rPr>
          <w:rFonts w:hint="eastAsia" w:asciiTheme="minorEastAsia" w:hAnsiTheme="minorEastAsia" w:eastAsiaTheme="minorEastAsia" w:cstheme="minorEastAsia"/>
          <w:lang w:eastAsia="zh-CN"/>
        </w:rPr>
        <w:t>通报检查重点，避免干扰正常生产。</w:t>
      </w:r>
    </w:p>
    <w:p w14:paraId="313669A3">
      <w:pPr>
        <w:spacing w:line="360" w:lineRule="auto"/>
        <w:ind w:firstLine="210" w:firstLineChars="1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.2 安全检查实施</w:t>
      </w:r>
    </w:p>
    <w:p w14:paraId="0F7F72F3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安全检查实施分为安全文件管理检查和安全现场管理检查，具体如下：</w:t>
      </w:r>
    </w:p>
    <w:p w14:paraId="27699ADD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.2.1 安全文件管理检查</w:t>
      </w:r>
    </w:p>
    <w:p w14:paraId="1966C7CF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依据附录 A 中检查表，审查安全管理资料，评估安全管理水平。在审查过程中，对于发现的问题，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应</w:t>
      </w:r>
      <w:r>
        <w:rPr>
          <w:rFonts w:hint="eastAsia" w:asciiTheme="minorEastAsia" w:hAnsiTheme="minorEastAsia" w:eastAsiaTheme="minorEastAsia" w:cstheme="minorEastAsia"/>
          <w:lang w:eastAsia="zh-CN"/>
        </w:rPr>
        <w:t>详细记录并及时反馈给相关部门。</w:t>
      </w:r>
    </w:p>
    <w:p w14:paraId="170C1A88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.2.2 安全现场管理检查</w:t>
      </w:r>
    </w:p>
    <w:p w14:paraId="46628E13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="黑体" w:hAnsi="黑体" w:eastAsia="黑体" w:cs="黑体"/>
          <w:bCs/>
          <w:lang w:eastAsia="zh-CN"/>
        </w:rPr>
        <w:t>运行状态安全检查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lang w:eastAsia="zh-CN"/>
        </w:rPr>
        <w:t>依附录B中B.1检查表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）</w:t>
      </w:r>
    </w:p>
    <w:p w14:paraId="4DF1515C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检查工艺运行、自动化控制系统运行、工艺参数、厂区及周边环境管理、危险化学品管理情况。</w:t>
      </w:r>
    </w:p>
    <w:p w14:paraId="3DCB03D3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各工艺单元安全检查（</w:t>
      </w:r>
      <w:r>
        <w:rPr>
          <w:rFonts w:hint="eastAsia" w:asciiTheme="minorEastAsia" w:hAnsiTheme="minorEastAsia" w:eastAsiaTheme="minorEastAsia" w:cstheme="minorEastAsia"/>
          <w:lang w:eastAsia="zh-CN"/>
        </w:rPr>
        <w:t>依附录B中B.2检查表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）</w:t>
      </w:r>
    </w:p>
    <w:p w14:paraId="305E817B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针对预处理、液化、公用工程、储运单元，检查设备运行、安全性能及工艺参数控制。</w:t>
      </w:r>
    </w:p>
    <w:p w14:paraId="349A1EA1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电气安全检查（</w:t>
      </w:r>
      <w:r>
        <w:rPr>
          <w:rFonts w:hint="eastAsia" w:asciiTheme="minorEastAsia" w:hAnsiTheme="minorEastAsia" w:eastAsiaTheme="minorEastAsia" w:cstheme="minorEastAsia"/>
          <w:lang w:eastAsia="zh-CN"/>
        </w:rPr>
        <w:t>依附录B中B.3检查表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）</w:t>
      </w:r>
    </w:p>
    <w:p w14:paraId="1795E341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检查电气设备运行、安全设施、备用电源及电力安全工器具。</w:t>
      </w:r>
    </w:p>
    <w:p w14:paraId="6C3BE324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仪表安全检查（</w:t>
      </w:r>
      <w:r>
        <w:rPr>
          <w:rFonts w:hint="eastAsia" w:asciiTheme="minorEastAsia" w:hAnsiTheme="minorEastAsia" w:eastAsiaTheme="minorEastAsia" w:cstheme="minorEastAsia"/>
          <w:lang w:eastAsia="zh-CN"/>
        </w:rPr>
        <w:t>依附录B中B.4检查表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）</w:t>
      </w:r>
    </w:p>
    <w:p w14:paraId="5085D490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检查仪表外观、误差、量程、报警功能及硬件软件通信。</w:t>
      </w:r>
    </w:p>
    <w:p w14:paraId="39387526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消防安全检查（</w:t>
      </w:r>
      <w:r>
        <w:rPr>
          <w:rFonts w:hint="eastAsia" w:asciiTheme="minorEastAsia" w:hAnsiTheme="minorEastAsia" w:eastAsiaTheme="minorEastAsia" w:cstheme="minorEastAsia"/>
          <w:lang w:eastAsia="zh-CN"/>
        </w:rPr>
        <w:t>依附录B中B.5检查表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）</w:t>
      </w:r>
    </w:p>
    <w:p w14:paraId="45F30EAB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检查消防车道、设施、疏散通道等，重点关注重点部位消防设施。</w:t>
      </w:r>
    </w:p>
    <w:p w14:paraId="18868420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其他设施安全检查（</w:t>
      </w:r>
      <w:r>
        <w:rPr>
          <w:rFonts w:hint="eastAsia" w:asciiTheme="minorEastAsia" w:hAnsiTheme="minorEastAsia" w:eastAsiaTheme="minorEastAsia" w:cstheme="minorEastAsia"/>
          <w:lang w:eastAsia="zh-CN"/>
        </w:rPr>
        <w:t>依附录B中B.6检查表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）</w:t>
      </w:r>
    </w:p>
    <w:p w14:paraId="7B877678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检查全厂其他设施，涵盖建筑、设备、管道、危险化学品管理等。</w:t>
      </w:r>
    </w:p>
    <w:p w14:paraId="16D8D84D">
      <w:pPr>
        <w:spacing w:line="360" w:lineRule="auto"/>
        <w:ind w:firstLine="422" w:firstLineChars="200"/>
        <w:rPr>
          <w:rFonts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安全标识检查（</w:t>
      </w:r>
      <w:r>
        <w:rPr>
          <w:rFonts w:hint="eastAsia" w:asciiTheme="minorEastAsia" w:hAnsiTheme="minorEastAsia" w:eastAsiaTheme="minorEastAsia" w:cstheme="minorEastAsia"/>
          <w:lang w:eastAsia="zh-CN"/>
        </w:rPr>
        <w:t>依附录B中B.7检查表</w:t>
      </w: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）</w:t>
      </w:r>
    </w:p>
    <w:p w14:paraId="17EEBB72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检查各类安全标识，确保符合规范，发挥警示指示作用。</w:t>
      </w:r>
    </w:p>
    <w:p w14:paraId="3C99C41B">
      <w:pPr>
        <w:spacing w:line="360" w:lineRule="auto"/>
        <w:ind w:firstLine="210" w:firstLineChars="1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.3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检查结果汇总与分析</w:t>
      </w:r>
    </w:p>
    <w:p w14:paraId="7205026B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检查结束后，检查人员应汇总检查结果，依据相关法律法规及企业规章制度对问题风险进行分级，并参考附录C向被检查对象呈现结果，及时提交《隐患整改通知单》。</w:t>
      </w:r>
    </w:p>
    <w:p w14:paraId="453AAF11">
      <w:pPr>
        <w:spacing w:line="360" w:lineRule="auto"/>
        <w:ind w:firstLine="210" w:firstLineChars="100"/>
        <w:rPr>
          <w:rFonts w:asciiTheme="minorEastAsia" w:hAnsiTheme="minorEastAsia" w:eastAsiaTheme="minorEastAsia" w:cstheme="minorEastAsia"/>
          <w:b w:val="0"/>
          <w:bCs w:val="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lang w:eastAsia="zh-CN"/>
        </w:rPr>
        <w:t>.4 整改要求与跟踪</w:t>
      </w:r>
    </w:p>
    <w:p w14:paraId="6D3708FC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  <w:sectPr>
          <w:headerReference r:id="rId12" w:type="default"/>
          <w:footerReference r:id="rId14" w:type="default"/>
          <w:headerReference r:id="rId13" w:type="even"/>
          <w:footerReference r:id="rId15" w:type="even"/>
          <w:pgSz w:w="11906" w:h="16838"/>
          <w:pgMar w:top="1984" w:right="1134" w:bottom="1417" w:left="1417" w:header="1417" w:footer="1134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lang w:eastAsia="zh-CN"/>
        </w:rPr>
        <w:t>企业应根据《隐患整改通知单》下达整改要求，责任单位按照闭环管理的要求对隐患进行整改，直至隐患消除。整改完成后，应进行复查并记录整改情况，确保隐患彻底消除。</w:t>
      </w:r>
    </w:p>
    <w:p w14:paraId="79B94CFB">
      <w:pPr>
        <w:spacing w:line="360" w:lineRule="auto"/>
        <w:outlineLvl w:val="0"/>
        <w:rPr>
          <w:rFonts w:ascii="黑体" w:hAnsi="黑体" w:eastAsia="黑体" w:cs="黑体"/>
          <w:sz w:val="24"/>
          <w:szCs w:val="24"/>
          <w:lang w:eastAsia="zh-CN"/>
        </w:rPr>
      </w:pPr>
      <w:bookmarkStart w:id="60" w:name="_Toc26290"/>
      <w:bookmarkStart w:id="61" w:name="_Toc28047"/>
      <w:bookmarkStart w:id="62" w:name="_Toc31577"/>
      <w:r>
        <w:rPr>
          <w:rFonts w:hint="eastAsia" w:ascii="黑体" w:hAnsi="黑体" w:eastAsia="黑体" w:cs="黑体"/>
          <w:sz w:val="24"/>
          <w:szCs w:val="24"/>
          <w:lang w:eastAsia="zh-CN"/>
        </w:rPr>
        <w:t>附录</w:t>
      </w:r>
      <w:bookmarkEnd w:id="60"/>
    </w:p>
    <w:p w14:paraId="54CB3CFB">
      <w:pPr>
        <w:spacing w:line="360" w:lineRule="auto"/>
        <w:outlineLvl w:val="0"/>
        <w:rPr>
          <w:rFonts w:ascii="黑体" w:hAnsi="黑体" w:eastAsia="黑体" w:cs="黑体"/>
          <w:lang w:eastAsia="zh-CN"/>
        </w:rPr>
      </w:pPr>
      <w:bookmarkStart w:id="63" w:name="_Toc16915"/>
      <w:r>
        <w:rPr>
          <w:rFonts w:hint="eastAsia" w:ascii="黑体" w:hAnsi="黑体" w:eastAsia="黑体" w:cs="黑体"/>
          <w:lang w:eastAsia="zh-CN"/>
        </w:rPr>
        <w:t>A  安全文件管理检查</w:t>
      </w:r>
      <w:bookmarkEnd w:id="63"/>
    </w:p>
    <w:p w14:paraId="13EF5682">
      <w:pPr>
        <w:pStyle w:val="17"/>
        <w:ind w:left="0" w:leftChars="0" w:firstLine="0"/>
        <w:jc w:val="center"/>
        <w:rPr>
          <w:rFonts w:ascii="宋体" w:hAnsi="宋体" w:eastAsia="宋体" w:cs="宋体"/>
          <w:b/>
          <w:lang w:eastAsia="zh-CN"/>
        </w:rPr>
      </w:pPr>
      <w:r>
        <w:rPr>
          <w:rFonts w:hint="eastAsia" w:eastAsia="宋体"/>
          <w:lang w:eastAsia="zh-CN"/>
        </w:rPr>
        <w:t xml:space="preserve">                 检查人：                    被检查负责人：                    检查时间：</w:t>
      </w:r>
    </w:p>
    <w:tbl>
      <w:tblPr>
        <w:tblStyle w:val="1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277"/>
        <w:gridCol w:w="4237"/>
        <w:gridCol w:w="3993"/>
        <w:gridCol w:w="1718"/>
        <w:gridCol w:w="795"/>
        <w:gridCol w:w="806"/>
      </w:tblGrid>
      <w:tr w14:paraId="072B2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5FD66D3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检查项目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9262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检查要求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9AF7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检查方法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C2C8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检查频次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55D3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检查结果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69BF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意见</w:t>
            </w:r>
          </w:p>
        </w:tc>
      </w:tr>
      <w:tr w14:paraId="14977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D805EA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安全组织机构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B4A3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建立安全管理组织架构，明确各部门、岗位安全职责并形成书面文件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2.确保安全生产管理人员数量满足工厂需求，具备相应知识、管理能力，持有资质证书且有培训记录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3.组建安全生产委员会、消防安全委员会，明确各委员会的成员构成、职责分工，定期召开会议。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ADFE6">
            <w:pPr>
              <w:numPr>
                <w:ilvl w:val="0"/>
                <w:numId w:val="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7E0C2BB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查阅组织架构图、职责文件、资质证书、培训记录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安全生产委员会、消防安全委员会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会议记录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59E9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1C6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D8B5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CEA8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0684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全员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安全生产责任制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C6D6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1.制定责任制文件，明确各级领导、部门、岗位责任并发放到位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2.责任制内容符合法规标准且贴合工厂实际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全员签订安全生产责任书，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定期考核责任制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落实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D5EC1">
            <w:pPr>
              <w:numPr>
                <w:ilvl w:val="0"/>
                <w:numId w:val="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86912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查看责任制文件、法规标准对比资料、考核记录。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BFEA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542E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489E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7C9D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7C6028E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安全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生产规章制度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F2F85">
            <w:pPr>
              <w:numPr>
                <w:ilvl w:val="0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主要负责人组织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制定涵盖安全生产各领域的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管理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制度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2.制度内容明确责任与工作要求，具备可操作性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E62D3FB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3.定期开展符合性评价。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EBAF0">
            <w:pPr>
              <w:numPr>
                <w:ilvl w:val="0"/>
                <w:numId w:val="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317656D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查阅规章制度文件、签发文件。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D4A4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80C3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891B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7DC8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42CB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安全操作规程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50AD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建立操作规程管理制度，编制各单元详细操作规程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2.新工艺、装置、设备投用前及时编制相关规程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3.每3年至少评审修订一次，有变更及时修订，确保使用最新版本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4.各单元工艺卡片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、DCS系统参数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与操作规程一致，现场放置最新版规程。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D3B62">
            <w:pPr>
              <w:numPr>
                <w:ilvl w:val="0"/>
                <w:numId w:val="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88CA3C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查阅管理制度文件、操作规程文本、评审修订记录、工艺卡片。</w:t>
            </w:r>
          </w:p>
          <w:p w14:paraId="1E9C0CAC">
            <w:pPr>
              <w:numPr>
                <w:ilvl w:val="0"/>
                <w:numId w:val="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39EF5C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查看操作规程放置情况。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8B91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0F48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2BF9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2C8B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5181C4F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安全培训教育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ECEE9">
            <w:pPr>
              <w:numPr>
                <w:ilvl w:val="0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制定年度安全培训计划，明确内容、对象、时间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2.新员工入职培训不少于72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学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时，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每月至少1次全员安全培训，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每年再培训不少于20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时；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3.培训内容涵盖安全知识、规章制度、操作规程、应急知识等，有教材和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13641A3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4.建立培训教育档案。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4B8E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943B826">
            <w:pPr>
              <w:numPr>
                <w:ilvl w:val="0"/>
                <w:numId w:val="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3836644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查阅培训记录，检查培训是否按计划进行，记录是否完整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  <w:p w14:paraId="19B233B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0840BB6">
            <w:pPr>
              <w:numPr>
                <w:ilvl w:val="0"/>
                <w:numId w:val="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6476BC3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查阅培训计划、培训记录、考核成绩、培训教材。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031F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028FD3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5DFF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E1C8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9E1C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6793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安全证件管理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4BBA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1.涉及生产、储存、运输的相关许可证齐全有效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2.作业人员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持证上岗，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操作证在有效期内，人员与证件相符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000A90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3.建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立台账并定期检查。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12877">
            <w:pPr>
              <w:numPr>
                <w:ilvl w:val="0"/>
                <w:numId w:val="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7E5A3C9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查阅许可证件、特种作业人员台账、操作证、检查记录。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435A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AAFE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B8DF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414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33F9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安全会议管理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A481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1.每月至少举行一次安全会议；</w:t>
            </w:r>
          </w:p>
          <w:p w14:paraId="20BC467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2.会议记录完整详实，准确记录会议时间、地点、参会人员、会议内容及决议事项等信息。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902B9">
            <w:pPr>
              <w:numPr>
                <w:ilvl w:val="0"/>
                <w:numId w:val="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</w:p>
          <w:p w14:paraId="131A60D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查阅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会议记录，检查会议是否按时召开，记录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是否完整。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174F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30F0FA4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F3C6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D32D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A0EBFED">
        <w:trPr>
          <w:trHeight w:val="1115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F5A9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重大危险源管理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2D5DA">
            <w:pPr>
              <w:numPr>
                <w:ilvl w:val="0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按标准辨识、评估重大危险源，确定清单和等级，建立档案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2.明确负责人职责，组织资源投入，定期判别风险、演练预案、开展技术检查评估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技术人员、操作人员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按规程检查，及时报告隐患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4.制定监控措施和应急预案，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按照规定进行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安全评估，有报告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2F28ED6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5.包保责任制度落实情况。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2F03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1DDF7CC">
            <w:pPr>
              <w:numPr>
                <w:ilvl w:val="0"/>
                <w:numId w:val="9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70B6A76D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查阅辨识评估资料、档案、监控措施文件、应急预案、评估报告。</w:t>
            </w:r>
          </w:p>
          <w:p w14:paraId="437D2142">
            <w:pPr>
              <w:numPr>
                <w:ilvl w:val="0"/>
                <w:numId w:val="9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A41EFF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操作人员操作情况，监控措施落实情况。</w:t>
            </w:r>
          </w:p>
          <w:p w14:paraId="3E9EC76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89254D3">
            <w:pPr>
              <w:numPr>
                <w:ilvl w:val="0"/>
                <w:numId w:val="10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6C54352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详细审查重大危险源专项评估报告，检查风险判别和安全评估是否准确，对重大危险源的应急设施和预案执行情况进行全面检查。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8BDC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19E4C78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专项检查（针对重大危险源专项检查）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6FF8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5991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06B4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5C64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安全投入管理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39FA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建立安全投入保障制度，明确提取标准、使用范围和管理办法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441978C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2.安全投入使用情况，有台账记录；</w:t>
            </w:r>
          </w:p>
          <w:p w14:paraId="1F35475C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3.制定年度安全投入计划。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1EAD0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5E95964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查阅保障制度文件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、台账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31DB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82CA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6ED5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797E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0B4D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安全文化建设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6CC6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1.制定安全文化建设规划，明确目标、任务和措施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2.开展多种安全文化宣传活动，留存记录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3.设置宣传栏，定期更新内容。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E276A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9660CF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查阅建设规划文件、活动记录。</w:t>
            </w:r>
          </w:p>
          <w:p w14:paraId="313612B6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45A236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查看宣传栏更新情况。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CAEF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0E1F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9AF5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48F1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89B474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劳动防护用品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AF89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1.制定劳动防护用品管理制度；</w:t>
            </w:r>
          </w:p>
          <w:p w14:paraId="77EE90D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.为劳动者配备符合标准的防护用品，有发放记录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.劳动者正确佩戴使用。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47F24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1F96C40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查阅发放记录。</w:t>
            </w:r>
          </w:p>
          <w:p w14:paraId="2CFA094A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46CFF3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查看佩戴使用情况。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83D3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07AF0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8FF8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9B68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66FDBFD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安全设施管理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6234B">
            <w:p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1.核实专人负责安全设施管理，职责明确；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2.审查安全设施管理制度涵盖设施全生命周期管理且具有可操作性。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B736C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9D84433">
            <w:pPr>
              <w:numPr>
                <w:ilvl w:val="-1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查看管理制度文件、人员职责分工文件。</w:t>
            </w:r>
          </w:p>
          <w:p w14:paraId="46785923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27BA127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与相关人员了解对自身职责和制度的熟悉程度。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5E72D">
            <w:pPr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专项检查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36EE7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B53C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EED7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2CB1DB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安全设施检查及维护保养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08669">
            <w:p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核实安全设施管理责任人是否明确安全设施管理责任人及职责，建立管理档案，定期检查和维护保养并记录，设施外观完好、运行正常，部分设施进行功能抽检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712D0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1F2D89BC">
            <w:pPr>
              <w:numPr>
                <w:ilvl w:val="-1"/>
                <w:numId w:val="0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安全设施管理制度；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安全设施维护保养检查记录。</w:t>
            </w:r>
          </w:p>
          <w:p w14:paraId="489CE28F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7360E90">
            <w:pPr>
              <w:numPr>
                <w:ilvl w:val="-1"/>
                <w:numId w:val="0"/>
              </w:numPr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安全设施的完整性，随机抽查部分设施进行功能测试。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FE4E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AC1F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385F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6830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9E94D05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安全设施设备检维修计划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85B16">
            <w:p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1.制定合理的安全设施设备检维修计划，明确检维修的项目、时间、责任人等，按照计划有序开展检维修工作；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2.检维修过程符合安全操作规程要求，检维修后进行验收，确保设施设备恢复正常运行状态，检维修记录完整存档。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DF1E5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C7837C3">
            <w:p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1）设备检维修计划；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2）安全设施检维修记录；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3）安全设施拆除、停用资料。</w:t>
            </w:r>
          </w:p>
          <w:p w14:paraId="07B5D361">
            <w:pPr>
              <w:numPr>
                <w:ilvl w:val="0"/>
                <w:numId w:val="12"/>
              </w:numPr>
              <w:ind w:left="420" w:hanging="42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1695F70">
            <w:p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1）安全设施是否存在随意拆除、挪用或弃置不用的情况；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2）对生产现场安全设施进行全面检查，核对实物与资料记录是否一致。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54B6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5C65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3876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D714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FC6283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应急救援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000E2A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预案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编制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2F38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1.预案编制：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制定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生产安全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应急预案，至少每3年修订一次，有记录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544A4D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2.预案评审：组织对应急预案评审，并记录评审意见；</w:t>
            </w:r>
          </w:p>
          <w:p w14:paraId="65745AB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3.预案发布：以正式文件发布实施，明确发布日期和版本号；</w:t>
            </w:r>
          </w:p>
          <w:p w14:paraId="3BC9088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4.预案备案：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应急预案按规定备案，有证明文件。向全体员工发布预案，有发布记录。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8178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C33E80D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108B67A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查阅应急预案文本、修订记录、现场处置方案文本、备案证明文件、发布记录，检查预案的编制、修订、评审、发布和备案情况。</w:t>
            </w:r>
          </w:p>
          <w:p w14:paraId="4F13D10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C7ACE5A">
            <w:pPr>
              <w:numPr>
                <w:ilvl w:val="0"/>
                <w:numId w:val="11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4645BF5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针对应急管理专项检查，重点审查应急预案在特殊情况下的适应情况，备案证明文件的合规性。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A84B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052099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专项检查（针对应急管理专项检查）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7C19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AE43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3750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E4B2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68C1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预案演练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9DFB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1.演练计划：根据应急预案和工厂情况，制定年度演练计划；</w:t>
            </w:r>
          </w:p>
          <w:p w14:paraId="69977B1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2.演练方案：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定期组织演练，综合演练每年至少1次，专项演练每半年至少1次，现场处置方案演练每季度至少1次。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重大危险源专项预案每半年1次；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3.演练记录：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演练记录完整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35B045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4.演练评价：及时开展效果评估，形成评估报告，分析演练问题，提出改进措施。修订完善，确保预案科学有效。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3552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</w:t>
            </w: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检查：</w:t>
            </w:r>
          </w:p>
          <w:p w14:paraId="32CD7D16">
            <w:pPr>
              <w:numPr>
                <w:ilvl w:val="0"/>
                <w:numId w:val="1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31A68C4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查阅演练记录、评估报告，检查演练计划的执行情况，演练记录的完整性，以及评估报告的质量。</w:t>
            </w:r>
          </w:p>
          <w:p w14:paraId="5D5FD10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专项检查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：</w:t>
            </w:r>
          </w:p>
          <w:p w14:paraId="096415DC">
            <w:pPr>
              <w:numPr>
                <w:ilvl w:val="0"/>
                <w:numId w:val="1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3FE3394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针对应急管理专项检查，重点审查演练计划的针对性和演练效果评估的深度，改进措施落实情况。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9786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6B2C6A1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专项检查（针对应急管理专项检查）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0004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7758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C895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01EE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D69D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应急器材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3321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1.建立应急器材配备台账，明确种类、数量、存放位置、有效期等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2.器材包括灭火器、呼吸器、急救箱等，定期检查维护，有记录。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6021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5E794ED">
            <w:pPr>
              <w:numPr>
                <w:ilvl w:val="0"/>
                <w:numId w:val="14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304ADC63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查阅检查记录，检查应急器材的检查维护情况。</w:t>
            </w:r>
          </w:p>
          <w:p w14:paraId="237DAF24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2F58613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查看应急器材的存放位置是否合理，器材是否完好。</w:t>
            </w:r>
          </w:p>
          <w:p w14:paraId="6025650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7EFDA96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15A10354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查阅配备台账、检查记录，台账完整，检查记录规范。</w:t>
            </w:r>
          </w:p>
          <w:p w14:paraId="21E1828F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D095BD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检查应急器材的种类、数量、有效期和状态，确保器材随时可用。</w:t>
            </w:r>
          </w:p>
          <w:p w14:paraId="4B146AD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0B7ABD6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6954AFD8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深入审查应急器材的配备标准和检查维护制度的执行情况，检查记录准确。</w:t>
            </w:r>
          </w:p>
          <w:p w14:paraId="15DAEE01">
            <w:pPr>
              <w:numPr>
                <w:ilvl w:val="0"/>
                <w:numId w:val="12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0EAF29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对重点应急器材进行性能测试，评估其可靠性。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8A39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9593FC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FEFD62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专项检查（针对应急管理专项检查）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6CAB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BAB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6DC5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5463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风险分级管控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与隐患排查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3FE8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风险分级管控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86A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1.建立双重预防机制管理制度；</w:t>
            </w:r>
          </w:p>
          <w:p w14:paraId="41A4C65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从设备设施及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作业活动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进行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风险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评估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，确定等级和分布，形成清单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.针对不同等级风险制定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排查及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管控措施，明确责任，定期评估更新。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A7323">
            <w:pPr>
              <w:numPr>
                <w:ilvl w:val="0"/>
                <w:numId w:val="1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4DFFFD0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查阅风险辨识评估报告、风险清单、管控措施文件。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9C96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17865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4A936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6BAC2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7BD7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CDA4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隐患治理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F5B8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建立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隐患治理台账，明确责任人、时限、资金、措施、预案“五到位”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2.及时通知治理隐患，重大隐患严格落实“五到位”，整改验收有记录。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6C2ED">
            <w:pPr>
              <w:numPr>
                <w:ilvl w:val="0"/>
                <w:numId w:val="1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890CE2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查阅治理台账、通知记录、验收记录。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06BC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490EE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E528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20508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627C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1E6A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重大隐患档案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B305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建立完善重大隐患项目档案，内容包括风险分级、排查、评估、治理等信息，定期更新。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A947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：</w:t>
            </w:r>
          </w:p>
          <w:p w14:paraId="4F41ACBF">
            <w:pPr>
              <w:numPr>
                <w:ilvl w:val="0"/>
                <w:numId w:val="1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703F1DD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查阅档案资料，档案完整、准确。</w:t>
            </w:r>
          </w:p>
          <w:p w14:paraId="4068447A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618A3078">
            <w:pPr>
              <w:numPr>
                <w:ilvl w:val="0"/>
                <w:numId w:val="1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7B17DCE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深入审查重大隐患档案中各项信息，评估档案管理情况。</w:t>
            </w:r>
          </w:p>
          <w:p w14:paraId="0D1C636B">
            <w:pPr>
              <w:numPr>
                <w:ilvl w:val="0"/>
                <w:numId w:val="1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D8268E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通过与实际隐患治理情况对比，检查档案信息与实际情况的一致性。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0323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593A4A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专项检查（针对重大隐患专项检查）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05C8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A9A5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B5D4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D3B2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特种设备管理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D4F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1.建立特种设备管理制度；</w:t>
            </w:r>
          </w:p>
          <w:p w14:paraId="16207EA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.特种设备台账及档案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3.采购、使用登记合规，定期维护保养，安全附件定期检验。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81A6B">
            <w:pPr>
              <w:numPr>
                <w:ilvl w:val="0"/>
                <w:numId w:val="1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70A7E5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查阅台账、档案、制度规程、登记资料、检验报告。</w:t>
            </w:r>
          </w:p>
          <w:p w14:paraId="389D6410">
            <w:pPr>
              <w:numPr>
                <w:ilvl w:val="0"/>
                <w:numId w:val="1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91483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特种设备运行状态和维护记录。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BAA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7F11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7B3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514D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CF92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承包商和供应商管理</w:t>
            </w:r>
          </w:p>
        </w:tc>
        <w:tc>
          <w:tcPr>
            <w:tcW w:w="4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E635F">
            <w:pPr>
              <w:numPr>
                <w:ilvl w:val="0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健全资质审查制度，建立档案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根据企业规定，如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签订安全协议，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需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明确双方责任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3.作业监管留存记录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7464468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4.安全培训、入厂安全告知记录。</w:t>
            </w:r>
          </w:p>
        </w:tc>
        <w:tc>
          <w:tcPr>
            <w:tcW w:w="3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6FB12">
            <w:pPr>
              <w:numPr>
                <w:ilvl w:val="0"/>
                <w:numId w:val="2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CD4A69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查阅制度文件、资质资料、档案、协议、监管记录。</w:t>
            </w:r>
          </w:p>
          <w:p w14:paraId="0ADAA6ED">
            <w:pPr>
              <w:numPr>
                <w:ilvl w:val="0"/>
                <w:numId w:val="2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1428D3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查看作业现场安全情况。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05CE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2523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AFC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1C54579B">
      <w:pPr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bookmarkEnd w:id="59"/>
    <w:p w14:paraId="6AB1A2C8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B</w:t>
      </w:r>
      <w:r>
        <w:rPr>
          <w:rFonts w:hint="eastAsia" w:ascii="黑体" w:hAnsi="黑体" w:eastAsia="黑体" w:cs="黑体"/>
          <w:lang w:val="en-US" w:eastAsia="zh-CN"/>
        </w:rPr>
        <w:t xml:space="preserve"> </w:t>
      </w:r>
      <w:r>
        <w:rPr>
          <w:rFonts w:hint="eastAsia" w:ascii="黑体" w:hAnsi="黑体" w:eastAsia="黑体" w:cs="黑体"/>
          <w:lang w:eastAsia="zh-CN"/>
        </w:rPr>
        <w:t>安全现场管理检查</w:t>
      </w:r>
      <w:bookmarkEnd w:id="61"/>
      <w:bookmarkEnd w:id="62"/>
    </w:p>
    <w:p w14:paraId="3BBECBD1">
      <w:pPr>
        <w:pStyle w:val="17"/>
        <w:ind w:left="0" w:leftChars="0" w:firstLine="0"/>
        <w:jc w:val="both"/>
        <w:outlineLvl w:val="1"/>
        <w:rPr>
          <w:rFonts w:ascii="黑体" w:hAnsi="黑体" w:eastAsia="黑体" w:cs="黑体"/>
          <w:bCs/>
          <w:lang w:eastAsia="zh-CN"/>
        </w:rPr>
      </w:pPr>
      <w:bookmarkStart w:id="64" w:name="_Toc6101"/>
      <w:r>
        <w:rPr>
          <w:rFonts w:hint="eastAsia" w:ascii="黑体" w:hAnsi="黑体" w:eastAsia="黑体" w:cs="黑体"/>
          <w:bCs/>
          <w:lang w:val="en-US" w:eastAsia="zh-CN"/>
        </w:rPr>
        <w:t>表</w:t>
      </w:r>
      <w:r>
        <w:rPr>
          <w:rFonts w:hint="eastAsia" w:ascii="黑体" w:hAnsi="黑体" w:eastAsia="黑体" w:cs="黑体"/>
          <w:bCs/>
          <w:lang w:eastAsia="zh-CN"/>
        </w:rPr>
        <w:t xml:space="preserve">B.1  </w:t>
      </w:r>
      <w:bookmarkEnd w:id="64"/>
      <w:r>
        <w:rPr>
          <w:rFonts w:hint="eastAsia" w:ascii="黑体" w:hAnsi="黑体" w:eastAsia="黑体" w:cs="黑体"/>
          <w:bCs/>
          <w:lang w:eastAsia="zh-CN"/>
        </w:rPr>
        <w:t>运行状态安全检查</w:t>
      </w:r>
    </w:p>
    <w:p w14:paraId="219DDFC1">
      <w:pPr>
        <w:pStyle w:val="17"/>
        <w:ind w:left="0" w:leftChars="0" w:firstLine="0"/>
        <w:jc w:val="center"/>
        <w:rPr>
          <w:rFonts w:ascii="宋体" w:hAnsi="宋体" w:eastAsia="宋体" w:cs="宋体"/>
          <w:b/>
          <w:lang w:eastAsia="zh-CN"/>
        </w:rPr>
      </w:pPr>
      <w:r>
        <w:rPr>
          <w:rFonts w:hint="eastAsia" w:eastAsia="宋体"/>
          <w:lang w:eastAsia="zh-CN"/>
        </w:rPr>
        <w:t xml:space="preserve">    检查人：                    被检查负责人：                    检查时间：</w:t>
      </w:r>
    </w:p>
    <w:tbl>
      <w:tblPr>
        <w:tblStyle w:val="18"/>
        <w:tblW w:w="1381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052"/>
        <w:gridCol w:w="3882"/>
        <w:gridCol w:w="4338"/>
        <w:gridCol w:w="1730"/>
        <w:gridCol w:w="800"/>
        <w:gridCol w:w="830"/>
      </w:tblGrid>
      <w:tr w14:paraId="06A2E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</w:trPr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A5E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检查项目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C6D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检查要求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E3A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检查方法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298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检查频次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B11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检查结果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489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意见</w:t>
            </w:r>
          </w:p>
        </w:tc>
      </w:tr>
      <w:tr w14:paraId="7D670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ACC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运行管理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2F6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1.具备完整准确且标注清晰的液化天然气工艺流程图，涵盖全流程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效的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操作规程/作业指导书、工艺操作卡、应急处置卡，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明确操作步骤、参数范围、安全事项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3.对工艺进行危险与可操作性分析（HAZOP），报告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有效，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内容全面准确且有改进建议。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457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2FBC763">
            <w:pPr>
              <w:numPr>
                <w:ilvl w:val="0"/>
                <w:numId w:val="2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12B48F8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全面审查工艺流程图、工艺操作规程等文件，HAZOP分析报告有效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且有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改进建议落实情况。</w:t>
            </w:r>
          </w:p>
          <w:p w14:paraId="0A312E75">
            <w:pPr>
              <w:numPr>
                <w:ilvl w:val="0"/>
                <w:numId w:val="2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</w:t>
            </w:r>
          </w:p>
          <w:p w14:paraId="749AF7EE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观察现场操作环境的整体规范性，评估现场操作与规程的契合度。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5B3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79F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0EB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EA02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75B14D2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工艺参数监测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AE05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1.操作人员按工艺卡片监控参数，不超安全限值，及时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记录、分析、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处理偏离情况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2.关键参数监测仪表齐全、准确，定期校验。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279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7D2F28A">
            <w:pPr>
              <w:numPr>
                <w:ilvl w:val="0"/>
                <w:numId w:val="24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3578A7F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操作记录和交接班记录。</w:t>
            </w:r>
          </w:p>
          <w:p w14:paraId="7C819F96">
            <w:pPr>
              <w:numPr>
                <w:ilvl w:val="0"/>
                <w:numId w:val="24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0D0D18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实时查看监控数据，检查仪表外观是否正常。</w:t>
            </w:r>
          </w:p>
          <w:p w14:paraId="1603DCC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30D86B7">
            <w:pPr>
              <w:numPr>
                <w:ilvl w:val="0"/>
                <w:numId w:val="25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2D38730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审查仪表校验报告。</w:t>
            </w:r>
          </w:p>
          <w:p w14:paraId="165FD125">
            <w:pPr>
              <w:numPr>
                <w:ilvl w:val="0"/>
                <w:numId w:val="26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9A11BF2">
            <w:pPr>
              <w:numPr>
                <w:ilvl w:val="-1"/>
                <w:numId w:val="0"/>
              </w:num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使用标准仪器对仪表进行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定期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检测。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F54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D042B0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14F2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5A7C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977D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E023C9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特殊作业管理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45C28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1.开停车、检维修、动火、受限空间等特殊作业需制定专项检查表；</w:t>
            </w:r>
          </w:p>
          <w:p w14:paraId="733F008C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2.检查票证审批流程；</w:t>
            </w:r>
          </w:p>
          <w:p w14:paraId="0C209D3A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3.监护人员需持特殊作业监护人资格证；</w:t>
            </w:r>
          </w:p>
          <w:p w14:paraId="63B0DC59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4.作业前安全措施落实；</w:t>
            </w:r>
          </w:p>
          <w:p w14:paraId="341961A9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5.配备应急物资；</w:t>
            </w:r>
          </w:p>
          <w:p w14:paraId="48831E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6.作业后验收记录完整。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A051">
            <w:pPr>
              <w:numPr>
                <w:ilvl w:val="0"/>
                <w:numId w:val="27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5A79A34D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专项检查表、票证、监护人员资质</w:t>
            </w:r>
          </w:p>
          <w:p w14:paraId="3FE09864">
            <w:pPr>
              <w:numPr>
                <w:ilvl w:val="0"/>
                <w:numId w:val="27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现场核查：</w:t>
            </w:r>
          </w:p>
          <w:p w14:paraId="21A98A53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安全措施落实、应急物资配备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E7C7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6B264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D846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EF3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1AB0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自动化控制系统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A88B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1.自动化控制系统功能正常，指令接收、数据显示准确，具备故障报警和应急处置机制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2.建立完善安全设施管理台账，记录系统信息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3BB297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3.应严格执行联锁管理制度。现场联锁装置必须投用、完好；摘除联锁有审批手续，有安全措施；恢复联锁按规定程序进行。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D6C2">
            <w:pPr>
              <w:numPr>
                <w:ilvl w:val="0"/>
                <w:numId w:val="2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资料检查：</w:t>
            </w:r>
          </w:p>
          <w:p w14:paraId="6F65951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审查管理台账、联锁管理制度的执行情况，审批手续和安全措施存档。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3BB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047E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0DAB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7C3EF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75DC77B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厂区及周边环境管理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5EAC5B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反恐措施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EA89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1.制定反恐怖防范措施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2.巡逻记录完整，监控视频存储合规。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740F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2503E22">
            <w:pPr>
              <w:numPr>
                <w:ilvl w:val="0"/>
                <w:numId w:val="2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34D30FF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全面审查防范制度文件，巡逻记录、视频存储记录。</w:t>
            </w:r>
          </w:p>
          <w:p w14:paraId="35161098">
            <w:pPr>
              <w:numPr>
                <w:ilvl w:val="0"/>
                <w:numId w:val="2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018CD0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检查巡逻路线，监控设备运行状态。</w:t>
            </w:r>
          </w:p>
          <w:p w14:paraId="727E4BE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DC70498">
            <w:pPr>
              <w:numPr>
                <w:ilvl w:val="0"/>
                <w:numId w:val="2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7232A5E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重点审查反恐措施在特殊时期或针对特定风险的适应性。</w:t>
            </w:r>
          </w:p>
          <w:p w14:paraId="0E56355F">
            <w:pPr>
              <w:numPr>
                <w:ilvl w:val="0"/>
                <w:numId w:val="2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C133F6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针对关键区域和重点时段进行针对性检查。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3F39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6055936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5515A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ECF99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E0C1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747D0D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3923861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生产环境管理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B42B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厂区无杂物堆积、油污渗漏，物品堆放有序，管理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定制化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、可视化。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A7E8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DD9FF70">
            <w:pPr>
              <w:numPr>
                <w:ilvl w:val="0"/>
                <w:numId w:val="2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1F5E9E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重点关注明显的杂物堆积和油污渗漏情况。</w:t>
            </w:r>
          </w:p>
          <w:p w14:paraId="621AEE0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9BB96AF">
            <w:pPr>
              <w:numPr>
                <w:ilvl w:val="0"/>
                <w:numId w:val="2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E2960D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全面评估可视化管理效果。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53F6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310EDCD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BE0D4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CF6FC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223FF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0D3E76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C60487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企业周边环境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890A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1.定期做现状评价报告，安全防护距离和安全间距符合要求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2.选址和布局按规定进行风险评价，满足安全要求。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198C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42EE2C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1.资料检查：审查评价报告、规划许可文件、设计文件；</w:t>
            </w:r>
          </w:p>
          <w:p w14:paraId="45BF00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2.现场检查：核对安全距离和间距的实际情况。</w:t>
            </w:r>
          </w:p>
          <w:p w14:paraId="4B7D538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1FA9C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1.资料检查：针对周边环境变化，审查评价报告的适应性；</w:t>
            </w:r>
          </w:p>
          <w:p w14:paraId="265717D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2.现场检查：周边环境变化对安全距离和间距的影响。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96C2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13F76CC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539A8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1A551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84E0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A4B30E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危险化学品管理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ED1E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使用场所安全设施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82EB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危险化学品使用安全，场所设施和防护用品齐全有效，定期维护检测。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3FB9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053BA39">
            <w:pPr>
              <w:numPr>
                <w:ilvl w:val="0"/>
                <w:numId w:val="3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2E8AD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设施运行状况，防护用品配备情况。</w:t>
            </w:r>
          </w:p>
          <w:p w14:paraId="5367E20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C5C5685">
            <w:pPr>
              <w:numPr>
                <w:ilvl w:val="0"/>
                <w:numId w:val="3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3582BC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全面检查维护记录，使用专业工具检测设施性能。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4FC7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6A716E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6B7D8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7B316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C30C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5BF6B3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1B81838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人员操作规范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FF51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1.使用人员熟悉化学品性质和应急方法，遵守操作规程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2.有培训记录，具备应急能力。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A306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5AD369EF">
            <w:pPr>
              <w:numPr>
                <w:ilvl w:val="0"/>
                <w:numId w:val="3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9707A80">
            <w:pPr>
              <w:numPr>
                <w:ilvl w:val="-1"/>
                <w:numId w:val="0"/>
              </w:numPr>
              <w:ind w:left="0" w:firstLine="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查看操作规范，比对是否存在违规行为。</w:t>
            </w:r>
          </w:p>
          <w:p w14:paraId="0B183D1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922B7F4">
            <w:pPr>
              <w:numPr>
                <w:ilvl w:val="0"/>
                <w:numId w:val="3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BED7FB7">
            <w:pPr>
              <w:numPr>
                <w:ilvl w:val="-1"/>
                <w:numId w:val="0"/>
              </w:numPr>
              <w:ind w:left="0" w:firstLine="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核查培训、应急演练记录。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964D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7ADC83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6F6D2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78E09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8875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F0B0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5B43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处置单位资质审核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EE10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1.危险化学品废弃处置交由有资质单位，转移单填写准确，记录化学品信息；</w:t>
            </w:r>
          </w:p>
          <w:p w14:paraId="1C6B442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2.定期对处置单位进行资质复查，确保资质有效。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23CA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8E7AC2D">
            <w:pPr>
              <w:numPr>
                <w:ilvl w:val="0"/>
                <w:numId w:val="3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E7D73C9">
            <w:pPr>
              <w:numPr>
                <w:ilvl w:val="-1"/>
                <w:numId w:val="0"/>
              </w:numPr>
              <w:ind w:left="0" w:firstLine="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资质文件、转移单填写准确。</w:t>
            </w:r>
          </w:p>
          <w:p w14:paraId="5DCFCAC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32FD61E">
            <w:pPr>
              <w:numPr>
                <w:ilvl w:val="0"/>
                <w:numId w:val="3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7A3D9CA">
            <w:pPr>
              <w:numPr>
                <w:ilvl w:val="-1"/>
                <w:numId w:val="0"/>
              </w:numPr>
              <w:ind w:left="0" w:firstLine="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在处置单位资质临近到期或发生重大变更时进行专项检查。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6E08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B40026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89963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12362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2AF21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64BE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68BC7">
            <w:pPr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生产、储存安全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2C2A6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提供危险化学品安全技术说明书，化学品安全标签；</w:t>
            </w:r>
          </w:p>
          <w:p w14:paraId="7845EF35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危险化学品管道定期检查检测。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40377">
            <w:pPr>
              <w:numPr>
                <w:ilvl w:val="0"/>
                <w:numId w:val="34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资料检查：</w:t>
            </w:r>
          </w:p>
          <w:p w14:paraId="4EF98AA1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检查检测报告，“一书一签”。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6A612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7C2E2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E428F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A707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B4059BA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承包商管理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6B555">
            <w:pPr>
              <w:numPr>
                <w:ilvl w:val="0"/>
                <w:numId w:val="0"/>
              </w:num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资质审查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9BA1C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1.承包商具备压力管道安装、压力容器维修等相关资质证书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；</w:t>
            </w:r>
          </w:p>
          <w:p w14:paraId="2026EF32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2.作业人员持证上岗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；</w:t>
            </w:r>
          </w:p>
          <w:p w14:paraId="0E11F901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3.特种作业人员证书需通过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应急管理部</w:t>
            </w: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官网验证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46CC9">
            <w:pPr>
              <w:numPr>
                <w:ilvl w:val="0"/>
                <w:numId w:val="35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资料检查：</w:t>
            </w:r>
          </w:p>
          <w:p w14:paraId="14E7F555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1.查阅资质证书原件，核对有效期及许可范围；</w:t>
            </w:r>
          </w:p>
          <w:p w14:paraId="31F78F1D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2.通过平台验证证书真伪。</w:t>
            </w:r>
          </w:p>
          <w:p w14:paraId="31268D4E">
            <w:pPr>
              <w:numPr>
                <w:ilvl w:val="0"/>
                <w:numId w:val="36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现场检查：</w:t>
            </w:r>
          </w:p>
          <w:p w14:paraId="32A1F7D5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1.抽查作业人员证件佩戴情况；</w:t>
            </w:r>
          </w:p>
          <w:p w14:paraId="7F87243E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2.核查设备操作与持证类别是否一致。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94CE4">
            <w:pPr>
              <w:numPr>
                <w:ilvl w:val="0"/>
                <w:numId w:val="0"/>
              </w:numPr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专项检查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92E87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A4EE75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 w14:paraId="63CBD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15B51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3B49F">
            <w:pPr>
              <w:numPr>
                <w:ilvl w:val="0"/>
                <w:numId w:val="0"/>
              </w:num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安全协议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90DA6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1.协议包含事故赔偿条款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，</w:t>
            </w: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明确赔偿标准、责任划分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；</w:t>
            </w:r>
          </w:p>
          <w:p w14:paraId="5938CC1C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2.明确双方安全责任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；</w:t>
            </w:r>
          </w:p>
          <w:p w14:paraId="7EB768E8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3.协议需经企业法务部门审核并加盖公章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69744">
            <w:pPr>
              <w:numPr>
                <w:ilvl w:val="0"/>
                <w:numId w:val="37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资料检查：</w:t>
            </w:r>
          </w:p>
          <w:p w14:paraId="0B66AA3F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1.审查协议文本，重点关注赔偿条款和责任划分；</w:t>
            </w:r>
          </w:p>
          <w:p w14:paraId="3D67CBC2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2.检查法务审核意见及公章完整性。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ED99D">
            <w:pPr>
              <w:numPr>
                <w:ilvl w:val="0"/>
                <w:numId w:val="0"/>
              </w:num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专项检查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2AACE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03397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 w14:paraId="65F18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D37BD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166D5">
            <w:pPr>
              <w:numPr>
                <w:ilvl w:val="0"/>
                <w:numId w:val="0"/>
              </w:num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作业监管</w:t>
            </w: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5AD84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每日记录安全行为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；</w:t>
            </w:r>
          </w:p>
          <w:p w14:paraId="2C06617A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每</w:t>
            </w: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周召开安全例会，留存会议纪要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；</w:t>
            </w:r>
          </w:p>
          <w:p w14:paraId="6F41AB4F">
            <w:pPr>
              <w:numPr>
                <w:ilvl w:val="0"/>
                <w:numId w:val="0"/>
              </w:num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lang w:val="en-US" w:eastAsia="zh-CN"/>
              </w:rPr>
              <w:t>3.企业安全管理人员每日巡查承包商作业区域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。</w:t>
            </w:r>
          </w:p>
        </w:tc>
        <w:tc>
          <w:tcPr>
            <w:tcW w:w="4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569B0">
            <w:pPr>
              <w:numPr>
                <w:ilvl w:val="0"/>
                <w:numId w:val="3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资料检查：</w:t>
            </w:r>
          </w:p>
          <w:p w14:paraId="1F4D95C2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1.查阅安全日志，核对每日记录完整性；</w:t>
            </w:r>
          </w:p>
          <w:p w14:paraId="4440D3DF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2.检查周例会纪要及整改落实情况。</w:t>
            </w:r>
          </w:p>
          <w:p w14:paraId="203FA097">
            <w:pPr>
              <w:numPr>
                <w:ilvl w:val="0"/>
                <w:numId w:val="39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现场检查：</w:t>
            </w:r>
          </w:p>
          <w:p w14:paraId="601BBD4B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1.观察作业人员劳保穿戴是否规范；</w:t>
            </w:r>
          </w:p>
          <w:p w14:paraId="2A26BE29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2.检查设备操作是否符合规程。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AA769">
            <w:pPr>
              <w:numPr>
                <w:ilvl w:val="0"/>
                <w:numId w:val="0"/>
              </w:num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专项检查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03367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FB596">
            <w:pPr>
              <w:numPr>
                <w:ilvl w:val="0"/>
                <w:numId w:val="0"/>
              </w:num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</w:tbl>
    <w:p w14:paraId="1C352D62">
      <w:pPr>
        <w:numPr>
          <w:ilvl w:val="0"/>
          <w:numId w:val="0"/>
        </w:numPr>
        <w:textAlignment w:val="center"/>
        <w:rPr>
          <w:rFonts w:ascii="宋体" w:hAnsi="宋体" w:eastAsia="宋体" w:cs="宋体"/>
          <w:b/>
          <w:sz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br w:type="page"/>
      </w:r>
    </w:p>
    <w:p w14:paraId="3F1AC931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65" w:name="_Toc21190"/>
      <w:r>
        <w:rPr>
          <w:rFonts w:hint="eastAsia" w:ascii="黑体" w:hAnsi="黑体" w:eastAsia="黑体" w:cs="黑体"/>
          <w:bCs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B.2  各工艺单元安全检查表</w:t>
      </w:r>
      <w:bookmarkEnd w:id="65"/>
    </w:p>
    <w:p w14:paraId="01A5264F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66" w:name="_Toc29890"/>
      <w:r>
        <w:rPr>
          <w:rFonts w:hint="eastAsia" w:ascii="黑体" w:hAnsi="黑体" w:eastAsia="黑体" w:cs="黑体"/>
          <w:bCs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B.2.1  预处理单元安全检查表</w:t>
      </w:r>
      <w:bookmarkEnd w:id="66"/>
    </w:p>
    <w:p w14:paraId="37BB5F72">
      <w:pPr>
        <w:pStyle w:val="17"/>
        <w:ind w:left="0" w:leftChars="0" w:firstLine="0"/>
        <w:jc w:val="center"/>
        <w:rPr>
          <w:rFonts w:ascii="宋体" w:hAnsi="宋体" w:eastAsia="宋体" w:cs="宋体"/>
          <w:b/>
          <w:lang w:eastAsia="zh-CN"/>
        </w:rPr>
      </w:pPr>
      <w:r>
        <w:rPr>
          <w:rFonts w:hint="eastAsia" w:eastAsia="宋体"/>
          <w:lang w:eastAsia="zh-CN"/>
        </w:rPr>
        <w:t xml:space="preserve">          检查人：                    被检查负责人：                    检查时间：</w:t>
      </w:r>
    </w:p>
    <w:tbl>
      <w:tblPr>
        <w:tblStyle w:val="18"/>
        <w:tblW w:w="137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4110"/>
        <w:gridCol w:w="4110"/>
        <w:gridCol w:w="1780"/>
        <w:gridCol w:w="820"/>
        <w:gridCol w:w="792"/>
      </w:tblGrid>
      <w:tr w14:paraId="3E12C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A495B7A">
            <w:pPr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color w:va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val="en-US" w:eastAsia="zh-CN" w:bidi="ar"/>
              </w:rPr>
              <w:t>检查项目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72C1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检查要求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24C5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检查方法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84A8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检查频次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EEB9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auto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检查结果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1BB1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建议</w:t>
            </w:r>
          </w:p>
        </w:tc>
      </w:tr>
      <w:tr w14:paraId="5FBCC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21AB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原料气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入口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8EE0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7CDF3CF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原料气压力、温度、流量、组分、管道压降无异常，在正常范围。</w:t>
            </w:r>
          </w:p>
          <w:p w14:paraId="1B325D5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7634BB6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管道无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振动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、变形、泄漏，支撑牢固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0058F7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阀门开关灵活，密封良好，无内漏、外漏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05CD1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阀门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铭牌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标识清晰，注明介质流向、阀门编号。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146C6">
            <w:pPr>
              <w:numPr>
                <w:ilvl w:val="0"/>
                <w:numId w:val="4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E94DFD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05C00A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1.工艺参数：查看现场仪表显示的压力、温度、流量等参数，与工艺卡片对比，判断是否正常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4915CA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2.设备检查：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目视检查管道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、阀门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外观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，判断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阀门标识是否清晰完整。</w:t>
            </w:r>
          </w:p>
          <w:p w14:paraId="479B908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603CD6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对仪表测量数据进行校准核对，分析数据趋势；</w:t>
            </w:r>
          </w:p>
          <w:p w14:paraId="4AEAC94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2.设备检查：检查阀门、管道振动情况。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83D6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4984A0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C851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ADD6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CC82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E5F6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原料气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过滤分离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FDB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414EBDB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原料气压力、温度、流量、分离器液位在正常范围内。检查原料气过滤器压差是否≤设计值的1.5倍，超限时是否及时切换备用设备。</w:t>
            </w:r>
          </w:p>
          <w:p w14:paraId="04D22F1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0E66468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（1）过滤器滤芯无堵塞、破损，压差在正常范围内；</w:t>
            </w:r>
          </w:p>
          <w:p w14:paraId="04AB639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（2）分离器无振动、变形、裂纹，无泄漏；</w:t>
            </w:r>
          </w:p>
          <w:p w14:paraId="3E19199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（3）液位计显示准确，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上下限符合要求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84984">
            <w:pPr>
              <w:numPr>
                <w:ilvl w:val="0"/>
                <w:numId w:val="4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729309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23A9A7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1.工艺参数：观察现场仪表，查看压力、温度、流量、液位等参数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D4510E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：目视检查分离器外观、液位计显示。</w:t>
            </w:r>
          </w:p>
          <w:p w14:paraId="0DA7A02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2B6DCD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1.工艺参数：分析历史数据，评估参数稳定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C430F8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：校验仪表准确。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8805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38208E0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494A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6BD4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AF62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6365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原料气增压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0306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100DB61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进出口压力、压比正常，进出口温度、流量、振动值、润滑油压力、冷却水温度在正常范围。</w:t>
            </w:r>
          </w:p>
          <w:p w14:paraId="7910301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1A3E5BE9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压缩机外观无变形、裂纹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无明显振动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1A608">
            <w:pPr>
              <w:numPr>
                <w:ilvl w:val="0"/>
                <w:numId w:val="4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87B3EC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B24F34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各数值，查看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振动值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记录情况；</w:t>
            </w:r>
          </w:p>
          <w:p w14:paraId="5396869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：目视检查压缩机外观，用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听针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听设备运行声音。</w:t>
            </w:r>
          </w:p>
          <w:p w14:paraId="50B75DB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59270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1.工艺参数：进行频谱分析，校准温度、压力等仪表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E05BFB9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压缩机外观。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91B4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35B89BC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C2BF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F1E9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4E22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8729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脱水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1DC2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46D8C72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（1）脱水塔进出口温度、压力、液位等在规定范围内，无异常波动；</w:t>
            </w:r>
          </w:p>
          <w:p w14:paraId="055DC37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（2）吸附剂再生温度、压力符合设计要求。</w:t>
            </w:r>
          </w:p>
          <w:p w14:paraId="792190D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57F7A5E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脱水塔运行平稳，无异常振动、噪声、异味。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4FB8A">
            <w:pPr>
              <w:numPr>
                <w:ilvl w:val="0"/>
                <w:numId w:val="4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E52CEC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9D4570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1.工艺参数：观察现场仪表，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再生温度、压力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是否正常；</w:t>
            </w:r>
          </w:p>
          <w:p w14:paraId="121A949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：目视检查脱水塔外观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检测是否存在可燃气体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  <w:p w14:paraId="20C3F6F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8E5665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1.工艺参数：分析数据趋势，用标准温度计、压力计校准仪表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39351C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：检查吸附塔密封性。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4E7A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828D46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862B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0838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CF40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71D2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脱重烃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506D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29C3C15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（1）脱重烃塔进出口温度、压力、液位等在规定范围内，无异常波动；</w:t>
            </w:r>
          </w:p>
          <w:p w14:paraId="55DC132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（2）重烃分离器液位、压力符合设计要求。</w:t>
            </w:r>
          </w:p>
          <w:p w14:paraId="76D760A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3FA414A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（1）脱重烃塔运行平稳，无异常振动、噪声、异味；</w:t>
            </w:r>
          </w:p>
          <w:p w14:paraId="14B91BD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（2）重烃分离器内部无堵塞，分离效果良好。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CEFE7">
            <w:pPr>
              <w:numPr>
                <w:ilvl w:val="0"/>
                <w:numId w:val="4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A3C35A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2E22A9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1.工艺参数：观察现场仪表，人工观察分离效果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989D40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检查：目视检查脱重烃塔外观。</w:t>
            </w:r>
          </w:p>
          <w:p w14:paraId="0797E83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9B4270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1.工艺参数：校验仪表准确性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F49EEF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：检查连接部位密封性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249A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FAFB10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6557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8C75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F437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3D3E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脱汞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5CCB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74CC5DE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（1）脱汞塔进出口温度、压力、流量等在规定范围内，无异常波动；</w:t>
            </w:r>
          </w:p>
          <w:p w14:paraId="5F3C432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（2）脱汞剂吸附效率符合设计要求，出口气体汞含量达标。</w:t>
            </w:r>
          </w:p>
          <w:p w14:paraId="25EA461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2790401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（1）脱汞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塔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运行平稳，无异常振动、噪声、异味；</w:t>
            </w:r>
          </w:p>
          <w:p w14:paraId="63F79AB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（2）脱汞剂再生周期、再生温度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在合理范围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，出口汞含量、装填量符合要求，无泄漏。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7D2C0">
            <w:pPr>
              <w:numPr>
                <w:ilvl w:val="0"/>
                <w:numId w:val="4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A5CC8E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494CFE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显示是否在正常范围；</w:t>
            </w:r>
          </w:p>
          <w:p w14:paraId="2BF9171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：目视检查脱汞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塔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外观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  <w:p w14:paraId="0DF82B2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49BF71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1.工艺参数：校验仪表准确性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E63269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：检查密封情况。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44A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3726D6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B947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C15F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83A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B6E4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脱硫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3A3C4">
            <w:pPr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 工艺参数</w:t>
            </w:r>
          </w:p>
          <w:p w14:paraId="20EE7298">
            <w:pPr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脱硫塔进出口温度、压力、流量等在规定范围内，无异常波动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6AEE345">
            <w:pPr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胺液吸收效率符合设计要求，出口气体硫含量达标。</w:t>
            </w:r>
          </w:p>
          <w:p w14:paraId="2E51B4CB">
            <w:pPr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 设备</w:t>
            </w:r>
          </w:p>
          <w:p w14:paraId="0F91AACA">
            <w:pPr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脱硫塔运行平稳，无异常振动、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噪声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、异味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251AF18">
            <w:pPr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胺液装填量符合要求，无泄漏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，定期更换，无因失效导致硫含量超标风险。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70FE5">
            <w:pPr>
              <w:numPr>
                <w:ilvl w:val="0"/>
                <w:numId w:val="4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3E9BEC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948920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显示是否在正常范围；</w:t>
            </w:r>
          </w:p>
          <w:p w14:paraId="20184B7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：目视检查脱硫塔外观。</w:t>
            </w:r>
          </w:p>
          <w:p w14:paraId="5F135A3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47999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1.工艺参数：校验仪表准确性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7FDA8B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：检查密封情况。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ED1E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A070E5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EED4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0F74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7A2E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D9EA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脱酸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B5D7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 工艺参数</w:t>
            </w:r>
          </w:p>
          <w:p w14:paraId="60BE0D1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（1）脱酸塔进出口温度、压力、流量在规定范围内稳定波动；</w:t>
            </w:r>
          </w:p>
          <w:p w14:paraId="76097AF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（2）吸收剂吸收效率达到设计要求，出口气体酸性气体含量符合标准。</w:t>
            </w:r>
          </w:p>
          <w:p w14:paraId="64BFD58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 设备</w:t>
            </w:r>
          </w:p>
          <w:p w14:paraId="2E6FC76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（1）脱酸塔运行平稳，无异常振动、噪音和异味；</w:t>
            </w:r>
          </w:p>
          <w:p w14:paraId="1141A41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（2）吸收剂装填量符合要求，无泄漏，定期更换，无因失效导致酸性气体超标风险。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3FFE5D">
            <w:pPr>
              <w:numPr>
                <w:ilvl w:val="0"/>
                <w:numId w:val="4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80DF5A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A94CBA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显示是否在正常范围；</w:t>
            </w:r>
          </w:p>
          <w:p w14:paraId="6956697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 xml:space="preserve">：目视检查脱酸塔外观。 </w:t>
            </w:r>
          </w:p>
          <w:p w14:paraId="3317D35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414834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1.工艺参数：每月分析数据，用气相色谱仪等设备抽检出口气体酸性气体含量，校准仪表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1FD3B9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：检查密封情况。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4194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BAA713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61C3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4CCD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609DFC62">
      <w:pPr>
        <w:textAlignment w:val="center"/>
        <w:rPr>
          <w:rFonts w:ascii="宋体" w:hAnsi="宋体" w:eastAsia="宋体" w:cs="宋体"/>
          <w:sz w:val="18"/>
          <w:szCs w:val="18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br w:type="page"/>
      </w:r>
    </w:p>
    <w:p w14:paraId="27E81CB6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67" w:name="_Toc3348"/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B.2.2  液化单元安全检查表</w:t>
      </w:r>
      <w:bookmarkEnd w:id="67"/>
    </w:p>
    <w:p w14:paraId="0EA2352E">
      <w:pPr>
        <w:pStyle w:val="17"/>
        <w:ind w:left="0" w:leftChars="0" w:firstLine="0"/>
        <w:jc w:val="center"/>
        <w:rPr>
          <w:rFonts w:ascii="宋体" w:hAnsi="宋体" w:eastAsia="宋体" w:cs="宋体"/>
          <w:b/>
          <w:lang w:eastAsia="zh-CN"/>
        </w:rPr>
      </w:pPr>
      <w:r>
        <w:rPr>
          <w:rFonts w:hint="eastAsia" w:eastAsia="宋体"/>
          <w:lang w:eastAsia="zh-CN"/>
        </w:rPr>
        <w:t xml:space="preserve">          检查人：                    被检查负责人：                    检查时间：</w:t>
      </w:r>
    </w:p>
    <w:tbl>
      <w:tblPr>
        <w:tblStyle w:val="19"/>
        <w:tblW w:w="13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4240"/>
        <w:gridCol w:w="3980"/>
        <w:gridCol w:w="1790"/>
        <w:gridCol w:w="810"/>
        <w:gridCol w:w="786"/>
      </w:tblGrid>
      <w:tr w14:paraId="3E37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" w:hRule="atLeast"/>
          <w:tblHeader/>
          <w:jc w:val="center"/>
        </w:trPr>
        <w:tc>
          <w:tcPr>
            <w:tcW w:w="2118" w:type="dxa"/>
            <w:vAlign w:val="center"/>
          </w:tcPr>
          <w:p w14:paraId="7FDEEEF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检查项目</w:t>
            </w:r>
          </w:p>
        </w:tc>
        <w:tc>
          <w:tcPr>
            <w:tcW w:w="4240" w:type="dxa"/>
            <w:shd w:val="clear" w:color="auto" w:fill="auto"/>
            <w:vAlign w:val="center"/>
          </w:tcPr>
          <w:p w14:paraId="2683527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检查要求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16FFE1D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检查方法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187046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检查频次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3C1292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检查结果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0454A480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建议</w:t>
            </w:r>
          </w:p>
        </w:tc>
      </w:tr>
      <w:tr w14:paraId="1D58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6DBC0BC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预冷</w:t>
            </w:r>
          </w:p>
        </w:tc>
        <w:tc>
          <w:tcPr>
            <w:tcW w:w="4240" w:type="dxa"/>
            <w:shd w:val="clear" w:color="auto" w:fill="auto"/>
            <w:vAlign w:val="center"/>
          </w:tcPr>
          <w:p w14:paraId="621C2323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6C7CD3BF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进出口压力、温度、流量在设计范围，无异常波动。</w:t>
            </w:r>
          </w:p>
          <w:p w14:paraId="0BD4450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69688364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换热器运行平稳，无泄漏、堵塞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，换热效率符合设计要求；</w:t>
            </w:r>
          </w:p>
          <w:p w14:paraId="69858478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（2）管道无振动、变形、泄漏，支撑牢固，阀门开关灵活，密封良好，无内漏、外漏。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4237D413">
            <w:pPr>
              <w:widowControl/>
              <w:numPr>
                <w:ilvl w:val="0"/>
                <w:numId w:val="48"/>
              </w:numPr>
              <w:ind w:left="420" w:hanging="420"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2CFA6A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338648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显示是否在正常范围；</w:t>
            </w:r>
          </w:p>
          <w:p w14:paraId="45745FA3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：目视检查管道外观、阀门状态。</w:t>
            </w:r>
          </w:p>
          <w:p w14:paraId="1C85C197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2607B5F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1.工艺参数：对测量数据进行校准核对，分析数据趋势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A69CA38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检测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换热器是否泄漏，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及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换热器换热情况。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77FB6F6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99AD56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FAC389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62C5228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E6F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70873826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制冷压缩</w:t>
            </w:r>
          </w:p>
        </w:tc>
        <w:tc>
          <w:tcPr>
            <w:tcW w:w="4240" w:type="dxa"/>
            <w:shd w:val="clear" w:color="auto" w:fill="auto"/>
            <w:vAlign w:val="center"/>
          </w:tcPr>
          <w:p w14:paraId="0E81EBAA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293A94ED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（1）冷剂压缩机进出口压力、温度、流量在设计范围内，无异常波动；</w:t>
            </w:r>
          </w:p>
          <w:p w14:paraId="47701C77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（2）电机电流、功率稳定；</w:t>
            </w:r>
          </w:p>
          <w:p w14:paraId="3300EF4D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（3）润滑油压力、温度正常。</w:t>
            </w:r>
          </w:p>
          <w:p w14:paraId="45E9304B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1DEE867D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（1）制冷压缩机运行平稳，无异响、异常振动，各部件连接牢固，无松动迹象；</w:t>
            </w:r>
          </w:p>
          <w:p w14:paraId="62AA29B2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（2）压缩机的密封装置良好，无冷剂泄漏；</w:t>
            </w:r>
          </w:p>
          <w:p w14:paraId="350E8C06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（3）冷却系统正常工作，冷却水量、水温符合要求。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0A1E8D69">
            <w:pPr>
              <w:widowControl/>
              <w:numPr>
                <w:ilvl w:val="0"/>
                <w:numId w:val="49"/>
              </w:numPr>
              <w:ind w:left="420" w:hanging="420"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123B6B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225151E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显示是否在正常范围；</w:t>
            </w:r>
          </w:p>
          <w:p w14:paraId="43A81829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：人工用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听针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听压缩机运行声音，用手感受振动，检查冷却系统外观。</w:t>
            </w:r>
          </w:p>
          <w:p w14:paraId="22B3A4D4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0C71AE0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1.工艺参数：定期校准相关仪表并分析参数稳定性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15EF69D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：检测压缩机振动情况。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327CCD0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8E910F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3DBA69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6B253BB0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72B8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6FE0C70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冷却</w:t>
            </w:r>
          </w:p>
        </w:tc>
        <w:tc>
          <w:tcPr>
            <w:tcW w:w="4240" w:type="dxa"/>
            <w:shd w:val="clear" w:color="auto" w:fill="auto"/>
            <w:vAlign w:val="center"/>
          </w:tcPr>
          <w:p w14:paraId="1D4128B9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67C4035E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（1）冷却器进出口混合冷剂温度、压力、流量在设计范围，无异常波动；</w:t>
            </w:r>
          </w:p>
          <w:p w14:paraId="65C215E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（2）冷却介质流量、温度稳定；</w:t>
            </w:r>
          </w:p>
          <w:p w14:paraId="61CEEFD8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（3）冷却器进出口温差符合设计要求。</w:t>
            </w:r>
          </w:p>
          <w:p w14:paraId="5AD422C2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17465EE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（1）冷却器无泄漏、堵塞，换热管、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内部结构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无损坏，换热效率满足设计标准；</w:t>
            </w:r>
          </w:p>
          <w:p w14:paraId="01B338AF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（2）冷却器支架、连接管道牢固，无变形、振动、泄漏；</w:t>
            </w:r>
          </w:p>
          <w:p w14:paraId="7641C279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（3）冷却水泵或风机运行正常，无异响、异常振动，电机电流、功率在正常范围；</w:t>
            </w:r>
          </w:p>
          <w:p w14:paraId="6C93E260"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4）冷箱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珠光砂年沉降量、密度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在正常范围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，密封气压力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在正常范围。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2C05A5B2">
            <w:pPr>
              <w:widowControl/>
              <w:numPr>
                <w:ilvl w:val="0"/>
                <w:numId w:val="50"/>
              </w:numPr>
              <w:ind w:left="420" w:hanging="420"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FB255DC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794BB9B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显示是否在正常范围；</w:t>
            </w:r>
          </w:p>
          <w:p w14:paraId="0FEDE554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：目视检查冷却器外观，用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听针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听泵或风机声音。</w:t>
            </w:r>
          </w:p>
          <w:p w14:paraId="34838DF3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5E9733A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1.工艺参数：定期校准仪表并分析温差数据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7F64AA4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：检测冷却器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及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换热情况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。</w:t>
            </w:r>
          </w:p>
          <w:p w14:paraId="5666CAA6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专项检查：</w:t>
            </w:r>
          </w:p>
          <w:p w14:paraId="5A10F540"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冷箱珠光砂沉降、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密度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情况。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E9A55D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1DCC26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D1B797C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12105222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2E24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7C9E890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节流膨胀</w:t>
            </w:r>
          </w:p>
        </w:tc>
        <w:tc>
          <w:tcPr>
            <w:tcW w:w="4240" w:type="dxa"/>
            <w:shd w:val="clear" w:color="auto" w:fill="auto"/>
            <w:vAlign w:val="center"/>
          </w:tcPr>
          <w:p w14:paraId="68FB46FA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0ADECDA6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节流阀前、后冷剂压力、温度、流量在设计范围，无异常波动，开度稳定。</w:t>
            </w:r>
          </w:p>
          <w:p w14:paraId="20841134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0594BEB4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（1）节流阀调节灵活，无卡阻、泄漏，密封良好；</w:t>
            </w:r>
          </w:p>
          <w:p w14:paraId="3664A57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（2）节流阀前、后管道无振动、变形、泄漏，支撑牢固。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4E2C3778">
            <w:pPr>
              <w:widowControl/>
              <w:numPr>
                <w:ilvl w:val="0"/>
                <w:numId w:val="51"/>
              </w:numPr>
              <w:ind w:left="420" w:hanging="420"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158D8C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88015A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显示是否在正常范围；</w:t>
            </w:r>
          </w:p>
          <w:p w14:paraId="04CB10E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日常操作中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节流阀感受灵活性，目视检查管道外观。</w:t>
            </w:r>
          </w:p>
          <w:p w14:paraId="7D53CC46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2D08448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1.工艺参数：定期校准仪表并分析开度稳定性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46F7287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：检测节流阀和管道密封性。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289A3F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56455C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53AC633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7AD25A6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C9F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6D2BC311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液化</w:t>
            </w:r>
          </w:p>
        </w:tc>
        <w:tc>
          <w:tcPr>
            <w:tcW w:w="4240" w:type="dxa"/>
            <w:shd w:val="clear" w:color="auto" w:fill="auto"/>
            <w:vAlign w:val="center"/>
          </w:tcPr>
          <w:p w14:paraId="42E75897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403E649C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（1）天然气在液化换热器内的进出口温度、压力、流量在设计范围，无异常波动；</w:t>
            </w:r>
          </w:p>
          <w:p w14:paraId="34A680A6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（2）冷剂在液化换热器内的进出口温度、压力、流量稳定；</w:t>
            </w:r>
          </w:p>
          <w:p w14:paraId="72A2412F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（3）液化率达到设计要求。</w:t>
            </w:r>
          </w:p>
          <w:p w14:paraId="55ABA2F5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349766A6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（1）液化换热器运行平稳，无泄漏、堵塞；</w:t>
            </w:r>
          </w:p>
          <w:p w14:paraId="2F49B962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（2）换热器的连接管道无振动、变形、泄漏，支撑牢固，阀门开关灵活，密封良好。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3A59BE97">
            <w:pPr>
              <w:widowControl/>
              <w:numPr>
                <w:ilvl w:val="0"/>
                <w:numId w:val="52"/>
              </w:numPr>
              <w:ind w:left="420" w:hanging="420"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FF18677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FC05462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显示是否在正常范围，定期检测液化率；</w:t>
            </w:r>
          </w:p>
          <w:p w14:paraId="6071DC36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：目视检查换热器和管道外观，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在操作时检测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阀门灵活性。</w:t>
            </w:r>
          </w:p>
          <w:p w14:paraId="0B19EEB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CE6C56D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1.工艺参数：定期校准仪表并分析液化率变化趋势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C30F197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：检测泄漏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及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换热情况。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CB1059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E308CF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79C6CB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2702AC7A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7890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7EF9E54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气液分离</w:t>
            </w:r>
          </w:p>
        </w:tc>
        <w:tc>
          <w:tcPr>
            <w:tcW w:w="4240" w:type="dxa"/>
            <w:shd w:val="clear" w:color="auto" w:fill="auto"/>
            <w:vAlign w:val="center"/>
          </w:tcPr>
          <w:p w14:paraId="53DEB48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21BFAAAE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（1）气液分离器内压力、液位在设计范围，无异常波动；</w:t>
            </w:r>
          </w:p>
          <w:p w14:paraId="5103ABAD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（2）分离后液相（液化天然气）和气相的流量、组分符合设计要求。</w:t>
            </w:r>
          </w:p>
          <w:p w14:paraId="14DDFD38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2347FA0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（1）气液分离器无振动、变形、裂纹；</w:t>
            </w:r>
          </w:p>
          <w:p w14:paraId="1B4EB5BB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（2）液位计显示准确，无堵塞、泄漏。</w:t>
            </w:r>
          </w:p>
        </w:tc>
        <w:tc>
          <w:tcPr>
            <w:tcW w:w="3980" w:type="dxa"/>
            <w:shd w:val="clear" w:color="auto" w:fill="auto"/>
            <w:vAlign w:val="center"/>
          </w:tcPr>
          <w:p w14:paraId="359E97B5">
            <w:pPr>
              <w:widowControl/>
              <w:numPr>
                <w:ilvl w:val="0"/>
                <w:numId w:val="53"/>
              </w:numPr>
              <w:ind w:left="420" w:hanging="420"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02ECD4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E84E99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工艺参数：观察现场仪表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显示是否在正常范围，定期检测组分；</w:t>
            </w:r>
          </w:p>
          <w:p w14:paraId="0C0126F0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：目视检查分离器外观、液位计显示。</w:t>
            </w:r>
          </w:p>
          <w:p w14:paraId="233F6EB3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38694A1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1.工艺参数：定期校准仪表并分析组分数据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D00C8E4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：检测分离器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及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液位计准确性。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227BBF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962537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C299FB4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14:paraId="53E08632"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0E3C8B99">
      <w:pPr>
        <w:jc w:val="both"/>
        <w:textAlignment w:val="center"/>
        <w:rPr>
          <w:rFonts w:ascii="宋体" w:hAnsi="宋体" w:eastAsia="宋体" w:cs="宋体"/>
          <w:sz w:val="18"/>
          <w:szCs w:val="18"/>
          <w:lang w:eastAsia="zh-CN" w:bidi="ar"/>
        </w:rPr>
      </w:pPr>
      <w:r>
        <w:rPr>
          <w:rFonts w:hint="eastAsia" w:ascii="宋体" w:hAnsi="宋体" w:eastAsia="宋体" w:cs="宋体"/>
          <w:sz w:val="18"/>
          <w:szCs w:val="18"/>
          <w:lang w:eastAsia="zh-CN" w:bidi="ar"/>
        </w:rPr>
        <w:br w:type="page"/>
      </w:r>
    </w:p>
    <w:p w14:paraId="43C4375C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68" w:name="_Toc9531"/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B.2.3  公用工程单元安全检查表</w:t>
      </w:r>
      <w:bookmarkEnd w:id="68"/>
    </w:p>
    <w:p w14:paraId="598CA8E6">
      <w:pPr>
        <w:pStyle w:val="17"/>
        <w:ind w:left="0" w:leftChars="0" w:firstLine="0"/>
        <w:jc w:val="center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 xml:space="preserve">          检查人：                    被检查负责人：                    检查时间：</w:t>
      </w:r>
    </w:p>
    <w:tbl>
      <w:tblPr>
        <w:tblStyle w:val="18"/>
        <w:tblW w:w="137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3987"/>
        <w:gridCol w:w="3990"/>
        <w:gridCol w:w="1780"/>
        <w:gridCol w:w="830"/>
        <w:gridCol w:w="840"/>
      </w:tblGrid>
      <w:tr w14:paraId="0AD54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tblHeader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4386FA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检查项目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002F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检查要求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E27B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检查方法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6C9B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val="en-US" w:eastAsia="zh-CN" w:bidi="ar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频次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682B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检查结果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1C0F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建议</w:t>
            </w:r>
          </w:p>
        </w:tc>
      </w:tr>
      <w:tr w14:paraId="75E93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7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BCEE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供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水系统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D2C3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5625171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（1）进水压力、流量满足用水需求，且在设计范围内波动；</w:t>
            </w:r>
          </w:p>
          <w:p w14:paraId="67F3852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（2）生产用水温度符合设备冷却要求，生活用水水质符合国家相关标准，消防用水压力满足灭火系统要求。</w:t>
            </w:r>
          </w:p>
          <w:p w14:paraId="0448F58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7E00F2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（1）水泵、水井运行正常，无故障，流量、扬程满足需求；</w:t>
            </w:r>
          </w:p>
          <w:p w14:paraId="056E538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（2）水处理设备（过滤器、软化器、消毒器）运行稳定，处理效果符合要求，过滤精度、软化程度、消毒剂量在合理范围；</w:t>
            </w:r>
          </w:p>
          <w:p w14:paraId="7486FB2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（3）水箱、水池无渗漏，水位正常；</w:t>
            </w:r>
          </w:p>
          <w:p w14:paraId="795D8E8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（4）供水管道无振动、破裂、泄漏，阀门开关灵活，密封良好。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109F0">
            <w:pPr>
              <w:numPr>
                <w:ilvl w:val="0"/>
                <w:numId w:val="5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55707A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6CCF50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工艺参数：通过压力传感器、流量计实时监测进水压力、流量；温度计测量生产用水温度，压力计检测消防用水压力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FE1985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：目视检查水泵、水井外观，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操作阀门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时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测试灵活性；用听针听水泵运行声音，检查水箱、水池水位。</w:t>
            </w:r>
          </w:p>
          <w:p w14:paraId="4C9EFAC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A08949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1.工艺参数：每月校准监测仪表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6384F7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：检测管道、水箱、水池是否泄漏；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检测水处理设备性能。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CC14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09F73B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82DA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BE2D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B963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41A8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循环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冷却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水系统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A507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0E6E7BA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（1）冷却水进出口温度差符合设计要求，压力稳定，无明显波动；</w:t>
            </w:r>
          </w:p>
          <w:p w14:paraId="3F8B01B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（2）循环水量满足设备冷却负荷，流量在设计范围内；</w:t>
            </w:r>
          </w:p>
          <w:p w14:paraId="52CCFAC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（3）水质硬度、酸碱度、浊度在规定范围内；</w:t>
            </w:r>
          </w:p>
          <w:p w14:paraId="1CBE955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56730E2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（1）冷却水泵运行平稳，无异常振动、噪声，电机电流、功率正常；</w:t>
            </w:r>
          </w:p>
          <w:p w14:paraId="16F2E42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）冷却塔布水均匀，填料无堵塞，风机运行正常，风量正常；</w:t>
            </w:r>
          </w:p>
          <w:p w14:paraId="7F2895C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（3）换热器无泄漏、堵塞，换热效率良好，进出口温差符合设计；</w:t>
            </w:r>
          </w:p>
          <w:p w14:paraId="5306975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（4）加药装置、过滤装置运行正常，加药量准确，过滤效果良好；</w:t>
            </w:r>
          </w:p>
          <w:p w14:paraId="3EE87FF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（5）管道及阀门无振动、泄漏，阀门开关灵活，管道支撑牢固。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198F1">
            <w:pPr>
              <w:numPr>
                <w:ilvl w:val="0"/>
                <w:numId w:val="5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ED5459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6DABAC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工艺参数：通过温度传感器、压力传感器、流量计监测相关参数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03CE5E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：目视检查冷却塔、换热器、管道外观；用听针听冷却水泵、风机声音。</w:t>
            </w:r>
          </w:p>
          <w:p w14:paraId="7B4C6E9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E3C508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1.工艺参数：每月校准仪表，分析温差、流量数据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检测水质硬度、酸碱度、浊度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AE94C3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：检测换热器、管道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冷却水泵、风机振动；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检查加药装置、过滤装置滤芯。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CB9C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010208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C799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25A1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897B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783A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仪表风系统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1745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7188A73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仪表风压力稳定在规定范围内，无明显波动。仪表风露点温度符合要求，流量满足仪表设备用气需求。</w:t>
            </w:r>
          </w:p>
          <w:p w14:paraId="2284982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53CD73E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（1）空气过滤器过滤效果良好；</w:t>
            </w:r>
          </w:p>
          <w:p w14:paraId="0BE4EC3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（2）干燥器运行稳定，出口露点达标；</w:t>
            </w:r>
          </w:p>
          <w:p w14:paraId="6846DEC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（3）储气罐压力稳定，无泄漏；</w:t>
            </w:r>
          </w:p>
          <w:p w14:paraId="01DC9E1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（4）管道及阀门无泄漏，阀门开关灵活，管道支撑牢固，无变形。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94ACC">
            <w:pPr>
              <w:numPr>
                <w:ilvl w:val="0"/>
                <w:numId w:val="5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4A72C5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C5BA60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工艺参数：通过压力传感器、露点仪、流量计监测相关参数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2FC8B1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：目视检查管道、阀门、储气罐外观；检查储气罐压力。</w:t>
            </w:r>
          </w:p>
          <w:p w14:paraId="2D701D8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128FA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1.工艺参数：校准仪表，分析压力、露点数据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C23499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：检测管道、储气罐；空气过滤器滤芯、干燥器吸附剂。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A85D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47E33A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F276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7E06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B56B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E2EA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燃料气系统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0F94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3F87607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（1）燃料气压力稳定，波动不超过规定值；</w:t>
            </w:r>
          </w:p>
          <w:p w14:paraId="478BDED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（2）燃料气流量满足燃烧设备的负荷需求，计量准确；</w:t>
            </w:r>
          </w:p>
          <w:p w14:paraId="5BF0A76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（3）燃料气热值符合设计要求，成分稳定，无杂质、水分。</w:t>
            </w:r>
          </w:p>
          <w:p w14:paraId="3A524D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02673A0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（1）燃料气压缩机（如有）运行平稳，无异常振动、噪声，排气压力、温度正常；</w:t>
            </w:r>
          </w:p>
          <w:p w14:paraId="4D2AA68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（2）调压装置调节灵活，能准确控制燃料气压力；</w:t>
            </w:r>
          </w:p>
          <w:p w14:paraId="7842ECB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（3）过滤器过滤效果良好；</w:t>
            </w:r>
          </w:p>
          <w:p w14:paraId="3A804CB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（4）流量计计量准确；</w:t>
            </w:r>
          </w:p>
          <w:p w14:paraId="670C350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（5）管道及阀门无泄漏，阀门开关灵活，管道支撑牢固，防腐措施良好；</w:t>
            </w:r>
          </w:p>
          <w:p w14:paraId="5A5BA6A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（6）燃烧炉、加热器燃烧稳定，火焰正常，热效率符合要求。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6708D">
            <w:pPr>
              <w:numPr>
                <w:ilvl w:val="0"/>
                <w:numId w:val="5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CE8970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1F7D90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工艺参数：通过压力传感器、流量计监测相关参数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C4D3BA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：目视检查管道、阀门、燃烧炉外观；用听针听燃料气压缩机声音，检查排气压力、温度。</w:t>
            </w:r>
          </w:p>
          <w:p w14:paraId="19F56CC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75AC73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1.工艺参数：校准仪表，分析压力、流量数据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09A4AC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燃料气压缩机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（如有）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检查过滤器滤芯、流量计。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453A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479AB3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9773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FD2C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B3F4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CFAE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污水处理系统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16DE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6D12A49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（1）污水进水流量、水质符合设计要求，波动在允许范围内；</w:t>
            </w:r>
          </w:p>
          <w:p w14:paraId="7F4114F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（2）各处理单元的反应时间、溶解氧浓度、污泥浓度在合理范围；</w:t>
            </w:r>
          </w:p>
          <w:p w14:paraId="7ECF098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（3）出水水质达到排放标准或回用要求，各项指标合格。</w:t>
            </w:r>
          </w:p>
          <w:p w14:paraId="67AE1F6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1DF72FF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（1）污水提升泵运行正常，无堵塞、泄漏，流量、扬程满足需求；</w:t>
            </w:r>
          </w:p>
          <w:p w14:paraId="2EF730F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（2）预处理设备格栅、沉砂池运行稳定；</w:t>
            </w:r>
          </w:p>
          <w:p w14:paraId="5C1ECD6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（3）生物处理设备曝气池、生物滤池微生物活性良好，曝气系统正常运行，溶解氧浓度合适；</w:t>
            </w:r>
          </w:p>
          <w:p w14:paraId="24BA8F1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（4）深度处理设备过滤器、膜处理装置过滤效果良好，膜元件无损坏、污染；</w:t>
            </w:r>
          </w:p>
          <w:p w14:paraId="240FE7F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（5）污泥处理设备污泥浓缩机、脱水机运行正常，污泥处理效果符合要求；</w:t>
            </w:r>
          </w:p>
          <w:p w14:paraId="114349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（6）管道及阀门无振动、泄漏，阀门开关灵活，管道支撑牢固。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29C66">
            <w:pPr>
              <w:numPr>
                <w:ilvl w:val="0"/>
                <w:numId w:val="5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B16DB8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6F1C30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工艺参数：通过流量计、水质在线监测仪监测相关参数；检测各处理单元溶解氧浓度、污泥浓度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3D2F73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：目视检查设备、管道外观；用听针听污水提升泵声音，检查流量、扬程。</w:t>
            </w:r>
          </w:p>
          <w:p w14:paraId="6F62205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27F880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1.工艺参数：每月校准仪表，分析流量、水质数据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污水水质符合设计要求，波动在允许范围内；</w:t>
            </w:r>
          </w:p>
          <w:p w14:paraId="1191D63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格栅、沉砂池、过滤器、膜处理装置；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检测污泥处理设备性能。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326B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980F93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4CE4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A4ED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CC9C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7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2583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空压制氮系统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208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</w:t>
            </w:r>
          </w:p>
          <w:p w14:paraId="41BFC01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空气压缩机进出口压力、温度、流量在设计范围内，无异常波动。出口压力满足制氮设备及用氮点需求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43A405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制氮设备的氮气纯度达到设计要求，氮气流量稳定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9C477E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压缩空气的露点温度符合要求。</w:t>
            </w:r>
          </w:p>
          <w:p w14:paraId="0139528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设备：</w:t>
            </w:r>
          </w:p>
          <w:p w14:paraId="0F1EFA8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空气压缩机运行平稳，无异响、异常振动，各部件连接牢固，无松动。润滑油压力、温度正常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27CDFF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空气过滤器过滤效果良好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BA8AF1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制氮设备吸附塔（或膜组件）性能稳定，无泄漏，内部结构完好，切换阀动作可靠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151782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氮气储罐压力稳定，无泄漏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D7A74C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（5）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管道及阀门无泄漏，阀门开关灵活，管道支撑牢固，无变形、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振动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，防腐措施良好。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E3075">
            <w:pPr>
              <w:numPr>
                <w:ilvl w:val="0"/>
                <w:numId w:val="5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FF5ED9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8A99C9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工艺参数：通过压力传感器、温度传感器、流量计、露点仪监测相关参数；检测氮气纯度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DE83C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：目视检查设备、管道外观；用听针听空气压缩机声音，检查润滑油压力、温度。</w:t>
            </w:r>
          </w:p>
          <w:p w14:paraId="0159212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358AAD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1.工艺参数：校准仪表，分析压力、温度、流量、露点数据；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送氮气样至专业机构检测纯度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B9F726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：检测管道、氮气储罐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空气压缩机振动；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检查空气过滤器滤芯、制氮设备吸附塔（或膜组件）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5568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50542D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2558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7D59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49D6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E2E7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导热油系统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8919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292762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（1）导热油炉进出口油温在设计范围内；</w:t>
            </w:r>
          </w:p>
          <w:p w14:paraId="66F0CA6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（2）导热油循环泵进出口压力稳定，流量满足工艺热负荷要求，无明显波动；</w:t>
            </w:r>
          </w:p>
          <w:p w14:paraId="3E9292A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（3）膨胀槽液位在正常范围内；</w:t>
            </w:r>
          </w:p>
          <w:p w14:paraId="1810454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（4）导热油的酸值、残炭、闪点定期检测，符合使用要求。</w:t>
            </w:r>
          </w:p>
          <w:p w14:paraId="433F0C1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64BE960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（1）导热油炉燃烧稳定，火焰正常，热效率符合设计要求。炉体无变形、泄漏，耐火材料完好；</w:t>
            </w:r>
          </w:p>
          <w:p w14:paraId="7E8E910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（2）导热油循环泵运行平稳，无异常振动、噪声，电机电流、功率正常。泵密封良好，无导热油泄漏；</w:t>
            </w:r>
          </w:p>
          <w:p w14:paraId="3E5F083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（3）膨胀槽、储油槽无渗漏，呼吸阀、液位计等附件完好；</w:t>
            </w:r>
          </w:p>
          <w:p w14:paraId="5ECA3EC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（4）管道及阀门无振动、泄漏，阀门开关灵活，管道保温良好。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83A1C">
            <w:pPr>
              <w:numPr>
                <w:ilvl w:val="0"/>
                <w:numId w:val="6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539EC6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A2F40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工艺参数：通过温度传感器、压力传感器、流量计监测相关参数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；检测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导热油酸值、残炭、闪点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1C5809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：目视检查设备、管道外观；用听针听导热油循环泵声音，检查电机电流、功率。</w:t>
            </w:r>
          </w:p>
          <w:p w14:paraId="60E3C36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CCD15E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1.工艺参数：校准仪表，分析油温、压力、流量数据；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送导热油样至专业机构全分析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2CCEDB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：检测管道、膨胀槽、储油槽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导热油循环泵振动；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检查呼吸阀、液位计。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8804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8EE658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B052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11DB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BFCE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E872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冷冻盐水机组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3326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6A20F6A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（1）冷冻盐水机组制冷量满足工艺冷量需求，蒸发温度、冷凝温度在设计范围内，无异常波动；</w:t>
            </w:r>
          </w:p>
          <w:p w14:paraId="0DA333B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（2）冷冻盐水进出口温度差符合设计要求，盐水浓度稳定；</w:t>
            </w:r>
          </w:p>
          <w:p w14:paraId="4903E58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（3）压缩机进出口压力、温度、流量正常，电机电流、功率稳定。</w:t>
            </w:r>
          </w:p>
          <w:p w14:paraId="35890AB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656BE6F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（1）制冷压缩机运行平稳，无异响、异常振动，各部件连接牢固，无松动。润滑油压力、温度正常；</w:t>
            </w:r>
          </w:p>
          <w:p w14:paraId="77877FB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（2）冷凝器、蒸发器无泄漏、堵塞，换热效果良好，进出口温差符合设计；</w:t>
            </w:r>
          </w:p>
          <w:p w14:paraId="243AA8D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（3）盐水循环泵运行正常，无异常振动、噪声，流量、扬程满足工艺要求。泵密封良好，无盐水泄漏；</w:t>
            </w:r>
          </w:p>
          <w:p w14:paraId="796BACD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（4）控制系统灵敏可靠，能准确调节制冷量、盐水温度等参数。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2E6E3">
            <w:pPr>
              <w:numPr>
                <w:ilvl w:val="0"/>
                <w:numId w:val="6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FF0553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20265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工艺参数：通过温度传感器、压力传感器、流量计监测相关参数；检测盐水浓度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109C5C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：目视检查设备、管道外观；用听针听制冷压缩机、盐水循环泵声音。</w:t>
            </w:r>
          </w:p>
          <w:p w14:paraId="7EF5CAA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66CFEB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1.工艺参数：校准仪表，分析制冷量、温度、压力、流量数据；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送盐水样至专业机构检测浓度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E75021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：检测冷凝器、蒸发器、管道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制冷压缩机、盐水循环泵振动；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检查控制系统性能。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EAC2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E7F7F6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687F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A5BB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3F59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7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02EE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蒸汽锅炉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5432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2FFD9E6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（1）蒸汽锅炉蒸汽压力、温度在设计范围内，无异常波动；</w:t>
            </w:r>
          </w:p>
          <w:p w14:paraId="2FB1FB6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（2）蒸汽流量满足工厂生产和生活用气需求，计量准确。给水压力、温度稳定；</w:t>
            </w:r>
          </w:p>
          <w:p w14:paraId="5A077F0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（3）锅水水质符合标准要求，酸碱度（pH 值）、硬度、溶解氧指标正常。</w:t>
            </w:r>
          </w:p>
          <w:p w14:paraId="6CA1281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7D8C51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（1）蒸汽锅炉本体无变形、泄漏，受压元件完好。燃烧器燃烧稳定，火焰正常，热效率符合设计要求；</w:t>
            </w:r>
          </w:p>
          <w:p w14:paraId="0B15DB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）水位计显示准确，无堵塞、泄漏，能实时监测锅炉水位；</w:t>
            </w:r>
          </w:p>
          <w:p w14:paraId="60A56DB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（3）给水泵运行正常，无异常振动、噪声，流量、扬程满足锅炉供水需求。阀门开关灵活，管道无振动、泄漏，支撑牢固，保温良好。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F32DD">
            <w:pPr>
              <w:numPr>
                <w:ilvl w:val="0"/>
                <w:numId w:val="6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5FF2E4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99EA25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工艺参数：通过压力传感器、温度传感器、流量计监测相关参数；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监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测锅水水质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5C6FA4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：目视检查锅炉本体、管道外观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用听针听给水泵声音，检查流量、扬程。</w:t>
            </w:r>
          </w:p>
          <w:p w14:paraId="0D7CA71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222549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1.工艺参数：校准仪表，分析蒸汽压力、温度、流量数据；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送锅水样至专业机构全分析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A14637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：检测锅炉本体、管道；受压元件；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检查水位计、燃烧器。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8F66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3515E9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61E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03F9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6651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5ADD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火炬系统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B993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0FC22AC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（1）火炬气排放压力、流量在设计范围；</w:t>
            </w:r>
          </w:p>
          <w:p w14:paraId="26EFCC9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（2）火炬头燃烧温度、火焰高度符合安全要求，无回火、脱火。</w:t>
            </w:r>
          </w:p>
          <w:p w14:paraId="588799F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652A508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（1）火炬头完好，燃烧性能良好，火炬筒体无变形、振动，支撑结构牢固；</w:t>
            </w:r>
          </w:p>
          <w:p w14:paraId="2361176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（2）分液罐分离效果良好；</w:t>
            </w:r>
          </w:p>
          <w:p w14:paraId="5ECC812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（3）阻火器无堵塞，阻火性能可靠；</w:t>
            </w:r>
          </w:p>
          <w:p w14:paraId="66834C6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（4）点火系统可靠，能正常点火，备用点火装置完好；</w:t>
            </w:r>
          </w:p>
          <w:p w14:paraId="5616A45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（5）管道及阀门无泄漏，阀门开关灵活，管道支撑牢固。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C96A5">
            <w:pPr>
              <w:numPr>
                <w:ilvl w:val="0"/>
                <w:numId w:val="6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11C126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CF9F64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工艺参数：通过压力传感器、流量计监测相关参数；观察火炬头燃烧情况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C6A7A0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：目视检查火炬头、火炬筒体、管道、阀门外观；检查分液罐液位。</w:t>
            </w:r>
          </w:p>
          <w:p w14:paraId="0BD8562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56D05E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1.工艺参数：校准仪表，分析压力、流量数据；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检测火炬头燃烧温度、火焰高度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289626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检查分液罐内部结构、阻火器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、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检测点火系统。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1460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F37C23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1E19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8273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1C40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9" w:hRule="atLeast"/>
          <w:jc w:val="center"/>
        </w:trPr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1B1A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热水锅炉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系统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A757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4F494FD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（1）热水锅炉的热水出口温度、压力在设计范围内，无异常波动；</w:t>
            </w:r>
          </w:p>
          <w:p w14:paraId="4A88BD7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（2）热水流量满足供暖或工艺用热需求，计量准确。循环水泵进出口压力稳定，流量满足要求；</w:t>
            </w:r>
          </w:p>
          <w:p w14:paraId="7AD8D68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（3）补水箱液位在正常范围内。软化水水质符合要求。</w:t>
            </w:r>
          </w:p>
          <w:p w14:paraId="6BAA7BD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065CD02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（1）热水锅炉本体无变形、泄漏，受热面清洁。燃烧器燃烧稳定，火焰正常，热效率符合设计要求；</w:t>
            </w:r>
          </w:p>
          <w:p w14:paraId="31A9355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（2）循环水泵运行平稳，无异常振动、噪声，电机电流、功率正常。泵密封良好，无热水泄漏。补水泵运行正常；</w:t>
            </w:r>
          </w:p>
          <w:p w14:paraId="436F282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（3）管道及阀门无振动、泄漏，阀门开关灵活，管道保温良好。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48E87">
            <w:pPr>
              <w:numPr>
                <w:ilvl w:val="0"/>
                <w:numId w:val="6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EBC9E8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51A271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工艺参数：通过温度传感器、压力传感器、流量计监测相关参数；检测软化水水质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75B525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：目视检查锅炉本体、管道外观；用听针听循环水泵、补水泵声音。</w:t>
            </w:r>
          </w:p>
          <w:p w14:paraId="2573708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8B1EF5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1.工艺参数：校准仪表，分析热水温度、压力、流量数据；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送软化水样至专业机构检测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D3700A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：检测管道、锅炉本体；循环水泵、补水泵振动；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检查燃烧器。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17ED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A0B7BA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2CF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F419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67867F2C">
      <w:pPr>
        <w:textAlignment w:val="center"/>
      </w:pPr>
      <w:r>
        <w:br w:type="page"/>
      </w:r>
    </w:p>
    <w:p w14:paraId="2DC9A96E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69" w:name="_Toc26015"/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B.2.4  储运单元安全检查表</w:t>
      </w:r>
      <w:bookmarkEnd w:id="69"/>
    </w:p>
    <w:p w14:paraId="2C75B0C3">
      <w:pPr>
        <w:pStyle w:val="17"/>
        <w:ind w:left="0" w:leftChars="0" w:firstLine="0"/>
        <w:jc w:val="center"/>
        <w:rPr>
          <w:rFonts w:ascii="宋体" w:hAnsi="宋体" w:eastAsia="宋体" w:cs="宋体"/>
          <w:spacing w:val="6"/>
          <w:sz w:val="20"/>
          <w:szCs w:val="20"/>
          <w:lang w:eastAsia="zh-CN"/>
        </w:rPr>
      </w:pPr>
      <w:r>
        <w:rPr>
          <w:rFonts w:hint="eastAsia" w:eastAsia="宋体"/>
          <w:lang w:eastAsia="zh-CN"/>
        </w:rPr>
        <w:t xml:space="preserve">       检查人：                    被检查负责人：                    检查时间：</w:t>
      </w:r>
    </w:p>
    <w:tbl>
      <w:tblPr>
        <w:tblStyle w:val="1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3980"/>
        <w:gridCol w:w="3990"/>
        <w:gridCol w:w="1900"/>
        <w:gridCol w:w="780"/>
        <w:gridCol w:w="837"/>
      </w:tblGrid>
      <w:tr w14:paraId="45893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tblHeader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ED7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检查项目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237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检查要求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F0E7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检查方法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8F9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检查频次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6B5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检查结果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419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建议</w:t>
            </w:r>
          </w:p>
        </w:tc>
      </w:tr>
      <w:tr w14:paraId="437DB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EE7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液化天然气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储存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3B1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4914E91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（1）储罐压力稳定，压力波动在正常范围。液位维持在正常区间；</w:t>
            </w:r>
          </w:p>
          <w:p w14:paraId="423F297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（2）储存温度保持在规定范围，波动幅度不超过设定值；</w:t>
            </w:r>
          </w:p>
          <w:p w14:paraId="0C269BB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（3）蒸发气（BOG）产生速率控制在合理范围。</w:t>
            </w:r>
          </w:p>
          <w:p w14:paraId="40307B0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1EEC49D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（1）储罐外观无变形、裂缝、腐蚀迹象，双层壁结构完好，绝热材料性能优良；</w:t>
            </w:r>
          </w:p>
          <w:p w14:paraId="69DA24A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（2）蒸发气（BOG）处理系统运行正常，压缩机、冷凝器等设备无故障；</w:t>
            </w:r>
          </w:p>
          <w:p w14:paraId="1A7C8C80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（3）低温管道无泄漏、变形，支撑牢固，阀门开关灵活，密封性能良好，无内漏、外漏。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EA21">
            <w:pPr>
              <w:numPr>
                <w:ilvl w:val="0"/>
                <w:numId w:val="6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384ADC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40AC70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工艺参数：通过压力传感器、液位传感器、温度传感器实时监测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C82AE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：目视检查储罐外观、管道、阀门，用听针听设备运行声音。</w:t>
            </w:r>
          </w:p>
          <w:p w14:paraId="3C71D81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67CD88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1.工艺参数：校准监测仪表，分析数据趋势，绘制压力、液位、温度变化曲线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E8BA6E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：检测储罐壁厚，绝热材料性能，检测管道、阀门密封性。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FF0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87E4C1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162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CEA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403C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65B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冷剂储存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5E9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</w:t>
            </w:r>
          </w:p>
          <w:p w14:paraId="6749E4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冷剂储罐压力根据冷剂种类和设计要求，控制在相应合理范围。液位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保持在规定范围；</w:t>
            </w:r>
          </w:p>
          <w:p w14:paraId="18C6439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冷剂储存温度依据冷剂特性，维持在特定温度范围。</w:t>
            </w:r>
          </w:p>
          <w:p w14:paraId="091BD7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设备：</w:t>
            </w:r>
          </w:p>
          <w:p w14:paraId="0C2B811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冷剂储罐无变形、腐蚀、泄漏，材质符合冷剂储存要求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C0548F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连接管道无泄漏、堵塞，阀门开关灵活，密封良好。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2418">
            <w:pPr>
              <w:numPr>
                <w:ilvl w:val="0"/>
                <w:numId w:val="6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C4B953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AA9545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工艺参数：通过压力传感器、液位传感器、温度传感器监测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D15B89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：目视检查储罐、管道外观，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操作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时检查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阀门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灵活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。</w:t>
            </w:r>
          </w:p>
          <w:p w14:paraId="2557660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4F1E6F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1.工艺参数：校准仪表，分析不同冷剂对应的压力、液位、温度数据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F369C6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：检测储罐、管道，检查阀门密封性能。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BD6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C3D7D5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696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374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610B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1CE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辅助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产品储存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47D3">
            <w:pPr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工艺参数：</w:t>
            </w:r>
          </w:p>
          <w:p w14:paraId="521F19D5">
            <w:pPr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（1）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辅助产品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储罐压力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、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压力波动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值在正常范围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。储罐液位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保持在规定范围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。</w:t>
            </w:r>
          </w:p>
          <w:p w14:paraId="0E2EDDDB">
            <w:pPr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储存温度根据轻烃具体成分，控制在适宜范围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；</w:t>
            </w:r>
          </w:p>
          <w:p w14:paraId="3701D1B5">
            <w:pPr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硫磺储存环境保持干燥，湿度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正常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。</w:t>
            </w:r>
          </w:p>
          <w:p w14:paraId="5BD6DA9A">
            <w:pPr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设备：</w:t>
            </w:r>
          </w:p>
          <w:p w14:paraId="5C8D3B95">
            <w:pPr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储罐材质选用耐腐蚀、耐压的材料，外观无变形、泄漏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；</w:t>
            </w:r>
          </w:p>
          <w:p w14:paraId="3133A3B6">
            <w:pPr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硫磺储存采用专用仓库或容器，具备良好的通风条件，地面和墙壁采用防腐蚀材料。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5C21">
            <w:pPr>
              <w:numPr>
                <w:ilvl w:val="0"/>
                <w:numId w:val="6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C071DC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80D3EB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工艺参数：通过压力传感器、液位传感器、温度传感器监测烃类储罐参数；用湿度计监测硫磺储存环境湿度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F2AF4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：目视检查烃类储罐外观，检查硫磺储存仓库通风设施。</w:t>
            </w:r>
          </w:p>
          <w:p w14:paraId="6DEDEC2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B8A6A5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1.工艺参数：校准仪表，分析烃类储罐压力、液位、温度数据；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检测硫磺储存环境湿度变化情况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81F60E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：检测储罐；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对硫磺储存仓库的防腐蚀材料进行性能检测。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661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3B9867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AF4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591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6D90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96B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装车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97B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</w:t>
            </w:r>
          </w:p>
          <w:p w14:paraId="033742A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装车流量稳定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A0418D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装车过程中，槽车与储罐的压力差维持在合理范围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A38ED3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（3）比对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装车前后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液化天然气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温度、密度、组分等参数，质量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应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无明显变化。</w:t>
            </w:r>
          </w:p>
          <w:p w14:paraId="44F0EE9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设备：</w:t>
            </w:r>
          </w:p>
          <w:p w14:paraId="69FDAC4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装车鹤管无变形、损坏，密封良好，连接部位牢固，转动灵活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3C7446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装车泵运行平稳，无异常振动、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噪声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，电机电流、功率正常，泵的流量和扬程满足装车需求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E984C7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槽车罐体外观无变形、腐蚀，阀门、仪表等设备完好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3B9F5F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静电接地装置连接可靠，电阻值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在正常范围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5620">
            <w:pPr>
              <w:numPr>
                <w:ilvl w:val="0"/>
                <w:numId w:val="6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07DE43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8A8DC9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工艺参数：装车前用压力计分别测量槽车和储罐压力，装车过程中通过流量计、压力传感器监测流量和压力差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124233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：目视检查装车鹤管、槽车外观，手动操作装车鹤管，用听针听装车泵声音，检查电机电流、功率，检测静电接地电阻。</w:t>
            </w:r>
          </w:p>
          <w:p w14:paraId="3267C6F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2484D8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1.工艺参数：校准相关仪表，分析装车流量、压力差数据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AD38B3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：检测装车鹤管、槽车壁厚，装车泵振动；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检查槽车阀门、仪表精度。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706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692506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343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0A8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BE28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C5B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卸车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234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</w:t>
            </w:r>
          </w:p>
          <w:p w14:paraId="6928F35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卸车前储罐压力低于槽车压力，卸车流量稳定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30B936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卸车过程中，槽车与储罐的压力差保持在合理范围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E222DC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（3）比对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装车前后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液化天然气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温度、密度、组分等参数，质量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应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无明显变化。</w:t>
            </w:r>
          </w:p>
          <w:p w14:paraId="104426C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设备：</w:t>
            </w:r>
          </w:p>
          <w:p w14:paraId="2191870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卸车鹤管无变形、损坏，密封良好，连接部位牢固，转动灵活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6F6CBD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卸车泵运行平稳，无异常振动、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噪声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，电机电流、功率正常，泵的流量和扬程满足卸车需求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4F8152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槽车罐体外观无变形、腐蚀，阀门、仪表等设备完好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C5095F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（4）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静电接地装置连接可靠，电阻值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在正常范围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11C9">
            <w:pPr>
              <w:numPr>
                <w:ilvl w:val="0"/>
                <w:numId w:val="6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091FDB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BBE7FE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工艺参数：卸车前用压力计分别测量储罐和槽车压力，卸车过程中通过流量计、压力传感器监测流量和压力差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63DFD3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：目视检查卸车鹤管、槽车外观，手动操作卸车鹤管，检查电机电流、功率，检测静电接地电阻。</w:t>
            </w:r>
          </w:p>
          <w:p w14:paraId="1327EC4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DA0AD6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1.工艺参数：校准相关仪表，分析卸车流量、压力差数据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828E5B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2.设备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：检测卸车鹤管、槽车壁厚，卸车泵振动；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检查槽车阀门、仪表精度。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783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76DD4E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BD1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227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1BBDD118">
      <w:pPr>
        <w:rPr>
          <w:rFonts w:ascii="宋体" w:hAnsi="宋体" w:eastAsia="宋体" w:cs="宋体"/>
          <w:b/>
          <w:sz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lang w:eastAsia="zh-CN"/>
        </w:rPr>
        <w:br w:type="page"/>
      </w:r>
    </w:p>
    <w:p w14:paraId="5C0B500C">
      <w:pPr>
        <w:spacing w:before="156" w:beforeLines="50" w:after="156" w:afterLines="50"/>
        <w:rPr>
          <w:rFonts w:ascii="宋体" w:hAnsi="宋体" w:eastAsia="宋体" w:cs="宋体"/>
          <w:b/>
          <w:sz w:val="28"/>
          <w:lang w:eastAsia="zh-CN"/>
        </w:rPr>
      </w:pPr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B.2.5  全厂安全附件检查表</w:t>
      </w:r>
    </w:p>
    <w:p w14:paraId="390ABD64">
      <w:pPr>
        <w:pStyle w:val="17"/>
        <w:ind w:left="0" w:leftChars="0" w:firstLine="0"/>
        <w:jc w:val="center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检查人：                    被检查负责人：                    检查时间：</w:t>
      </w:r>
    </w:p>
    <w:tbl>
      <w:tblPr>
        <w:tblStyle w:val="18"/>
        <w:tblW w:w="14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980"/>
        <w:gridCol w:w="3990"/>
        <w:gridCol w:w="1910"/>
        <w:gridCol w:w="770"/>
        <w:gridCol w:w="960"/>
      </w:tblGrid>
      <w:tr w14:paraId="4779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87C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检查项目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F76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检查要求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B62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检查方法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36A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检查频次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972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检查结果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A24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整改</w:t>
            </w:r>
          </w:p>
          <w:p w14:paraId="470C8C9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建议</w:t>
            </w:r>
          </w:p>
        </w:tc>
      </w:tr>
      <w:tr w14:paraId="14BAA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A016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安全阀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37C4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4B1325F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）设定压力符合设备设计要求，且在有效期内无变更，校验周期不超过1年；</w:t>
            </w:r>
          </w:p>
          <w:p w14:paraId="38A4C98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）起跳压力、回座压力与设定压力偏差在正常范围。</w:t>
            </w:r>
          </w:p>
          <w:p w14:paraId="24D4147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7722CE1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）外观无腐蚀、变形、损坏，铭牌清晰完整；</w:t>
            </w:r>
          </w:p>
          <w:p w14:paraId="0D48F13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）弹簧无锈蚀、变形，弹性良好；</w:t>
            </w:r>
          </w:p>
          <w:p w14:paraId="4259BE7D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）进出口管道连接牢固，无堵塞、变形；</w:t>
            </w:r>
          </w:p>
          <w:p w14:paraId="0CC3E93C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（4）上下游手阀投用并打铅封。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DAB83">
            <w:pPr>
              <w:numPr>
                <w:ilvl w:val="0"/>
                <w:numId w:val="7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3D97BD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971746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1.目视检查安全阀外观和铭牌，查看是否有明显的变形、损坏，铭牌是否清晰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08B3FD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2.手查看有无锈蚀、变形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91D5D0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3.检查进出口管道连接部位是否牢固，有无松动迹象。</w:t>
            </w:r>
          </w:p>
          <w:p w14:paraId="568665F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性检查：</w:t>
            </w:r>
          </w:p>
          <w:p w14:paraId="7D02130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1.对安全阀设定压力进行复核，确保设定压力符合要求且在校验有效期内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3A03DF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2.分析近三个月内安全阀的运行数据（如有监测记录），查看起跳压力、回座压力与设定压力偏差是否在正常范围。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631E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</w:p>
          <w:p w14:paraId="626455F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2944F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081A7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2B3F8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2521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爆破片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425C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</w:t>
            </w:r>
          </w:p>
          <w:p w14:paraId="1D0A32F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爆破压力在设计规定范围内，与设备设计压力和工作压力匹配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B50ED6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爆破片的标定爆破压力有效期符合要求。</w:t>
            </w:r>
          </w:p>
          <w:p w14:paraId="5AAFF32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设备：</w:t>
            </w:r>
          </w:p>
          <w:p w14:paraId="2B0F6F7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外观无变形、裂纹、腐蚀，表面无明显损伤，安装方向正确，与夹持器连接牢固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A3300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夹持器无变形、损坏，密封性能良好。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41A2F">
            <w:pPr>
              <w:numPr>
                <w:ilvl w:val="0"/>
                <w:numId w:val="7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55D745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D45CDD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1.目视检查爆破片外观和安装方向，是否有变形、裂纹、腐蚀，安装方向是否正确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9F71BA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2.手动检查夹持器连接部位是否牢固。</w:t>
            </w:r>
          </w:p>
          <w:p w14:paraId="17EBDE0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</w:t>
            </w: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性检查：</w:t>
            </w:r>
          </w:p>
          <w:p w14:paraId="4EB0C99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核对爆破片标定报告，确保爆破压力和有效期符合要求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F31AD8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2.检测爆破片表面及内部是否存在微小裂纹等缺陷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FDAAC1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夹持器进行密封性测试，检查密封性能。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8FA6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</w:p>
          <w:p w14:paraId="6A7AE12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DC8E1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01C6F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F555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11E9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安全联锁装置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01C9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工艺参数：</w:t>
            </w:r>
          </w:p>
          <w:p w14:paraId="3D7699F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（1）联锁逻辑关系正确，符合工艺安全要求；</w:t>
            </w:r>
          </w:p>
          <w:p w14:paraId="09FE489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（2）触发条件设置合理，响应时间在合理范围。</w:t>
            </w:r>
          </w:p>
          <w:p w14:paraId="7B32AB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61E4A33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（1）传感器工作正常，测量准确，误差在合理范围；</w:t>
            </w:r>
          </w:p>
          <w:p w14:paraId="1B574BA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（2）控制器运行稳定，无死机、误动作，软件版本符合要求；</w:t>
            </w:r>
          </w:p>
          <w:p w14:paraId="7EFD2B9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（3）执行机构动作可靠，通信线路连接可靠，无松动、破损，信号传输稳定。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F14DA">
            <w:pPr>
              <w:numPr>
                <w:ilvl w:val="0"/>
                <w:numId w:val="7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34FE1EA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A9A850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1.查看控制器运行状态，是否有异常报警，软件界面是否正常显示；</w:t>
            </w:r>
          </w:p>
          <w:p w14:paraId="14ED5DA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2.检查通信线路外观，是否有破损、松动。</w:t>
            </w:r>
          </w:p>
          <w:p w14:paraId="712E342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4943C6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1.定期对传感器进行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检测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，确保测量准确，误差在合理范围；</w:t>
            </w:r>
          </w:p>
          <w:p w14:paraId="15DEDD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2.检查控制器软件版本，确认是否为最新且符合要求的版本；</w:t>
            </w:r>
          </w:p>
          <w:p w14:paraId="21D77D9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3.对执行机构进行动作测试，检查动作可靠性。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A8BF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</w:p>
          <w:p w14:paraId="40D912D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5C40F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657D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A7EB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578B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泄压排空系统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59F6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1.工艺参数：</w:t>
            </w:r>
          </w:p>
          <w:p w14:paraId="6A81543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泄压能力满足设备最大泄放量要求，排空口排放压力符合安全规定。</w:t>
            </w:r>
          </w:p>
          <w:p w14:paraId="7E87957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2.设备：</w:t>
            </w:r>
          </w:p>
          <w:p w14:paraId="327EFDB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（1）泄压阀性能良好，排空管道无腐蚀、变形、堵塞，支撑牢固，管道走向合理；</w:t>
            </w:r>
          </w:p>
          <w:p w14:paraId="4CD8CB9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（2）阻火器安装正确，性能可靠。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860B0">
            <w:pPr>
              <w:numPr>
                <w:ilvl w:val="0"/>
                <w:numId w:val="7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072162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3C9BF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目视检查泄压阀和排空管道，查看是否有腐蚀、变形、堵塞迹象，支撑是否牢固。</w:t>
            </w:r>
          </w:p>
          <w:p w14:paraId="31412AD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947D4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测量排空口排放压力，检查是否符合安全规定。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4857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日常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</w:t>
            </w:r>
          </w:p>
          <w:p w14:paraId="0F711EC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70F31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E7C2D">
            <w:pPr>
              <w:textAlignment w:val="center"/>
              <w:rPr>
                <w:rFonts w:asciiTheme="minorEastAsia" w:hAnsiTheme="minorEastAsia" w:eastAsiaTheme="minorEastAsia" w:cstheme="minorEastAsia"/>
              </w:rPr>
            </w:pPr>
          </w:p>
        </w:tc>
      </w:tr>
    </w:tbl>
    <w:p w14:paraId="0B759FB0">
      <w:pPr>
        <w:textAlignment w:val="center"/>
        <w:rPr>
          <w:rFonts w:ascii="宋体" w:hAnsi="宋体" w:eastAsia="宋体" w:cs="宋体"/>
          <w:b/>
          <w:sz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br w:type="page"/>
      </w:r>
    </w:p>
    <w:p w14:paraId="3A7BDD9B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70" w:name="_Toc17755"/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B.3  电气安全检查表</w:t>
      </w:r>
      <w:bookmarkEnd w:id="70"/>
    </w:p>
    <w:p w14:paraId="3CF165C4">
      <w:pPr>
        <w:pStyle w:val="17"/>
        <w:ind w:left="0" w:leftChars="0" w:firstLine="0"/>
        <w:jc w:val="center"/>
        <w:rPr>
          <w:rFonts w:ascii="宋体" w:hAnsi="宋体" w:eastAsia="宋体" w:cs="宋体"/>
          <w:b/>
          <w:lang w:eastAsia="zh-CN"/>
        </w:rPr>
      </w:pPr>
      <w:r>
        <w:rPr>
          <w:rFonts w:hint="eastAsia" w:eastAsia="宋体"/>
          <w:lang w:eastAsia="zh-CN"/>
        </w:rPr>
        <w:t>检查人：                    被检查负责人：                    检查时间：</w:t>
      </w:r>
    </w:p>
    <w:tbl>
      <w:tblPr>
        <w:tblStyle w:val="18"/>
        <w:tblW w:w="1395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3980"/>
        <w:gridCol w:w="3990"/>
        <w:gridCol w:w="1920"/>
        <w:gridCol w:w="770"/>
        <w:gridCol w:w="870"/>
      </w:tblGrid>
      <w:tr w14:paraId="565FA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DD9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检查项目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4F2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检查要求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C4A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检查方法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C642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检查频次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276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检查结果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52B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整改</w:t>
            </w:r>
          </w:p>
          <w:p w14:paraId="368639A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建议</w:t>
            </w:r>
          </w:p>
        </w:tc>
      </w:tr>
      <w:tr w14:paraId="1B572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3AE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变压器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0A9C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运行温度正常，上层油温（油浸式）或绕组温度（干式）在正常范围，无局部过热现象；</w:t>
            </w:r>
          </w:p>
          <w:p w14:paraId="7992FC61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油浸式变压器油位在油标刻度范围内，油色透明无浑浊；</w:t>
            </w:r>
          </w:p>
          <w:p w14:paraId="51B18D4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无异常噪声或振动。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9584">
            <w:pPr>
              <w:numPr>
                <w:ilvl w:val="0"/>
                <w:numId w:val="7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49957B3"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5CC4FDD8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检测变压器上层油温（油浸式）或绕组温度（干式），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查看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温度探头、传感器记录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的数据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40666BF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目视检查油浸式变压器油位和油色，记录油位刻度；对于干式变压器，检查外观有无放电痕迹、变色等异常情况；</w:t>
            </w:r>
          </w:p>
          <w:p w14:paraId="2F5023D3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用听针听变压器运行声音，记录有无异常噪声。</w:t>
            </w:r>
          </w:p>
          <w:p w14:paraId="0B2DC445"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D0A400D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检测变压器振动值，与标准值对比；</w:t>
            </w:r>
          </w:p>
          <w:p w14:paraId="7BE8F970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定期取油样进行油质分析，检测油的各项指标（仅适用于油浸式变压器）；</w:t>
            </w:r>
          </w:p>
          <w:p w14:paraId="2A6968D7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干式变压器检查其通风散热系统是否正常，包括风扇运转情况、通风口有无堵塞等。</w:t>
            </w:r>
          </w:p>
          <w:p w14:paraId="3B18DA3B"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专项检查（电气预防性试验）：</w:t>
            </w:r>
          </w:p>
          <w:p w14:paraId="081FF684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1.每3年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一次全面的预防性试验，包括绕组绝缘电阻测试、直流电阻测试等；</w:t>
            </w:r>
          </w:p>
          <w:p w14:paraId="28EF0FC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对于干式变压器，还需进行铁芯接地检查，确保铁芯接地良好，无多点接地等异常情况。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52A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999D40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D68AD8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专项检查（电气预防性试验）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B28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091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1C83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CB9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高压开关柜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7A1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1.开关动作灵活，无卡滞，分合闸指示正确；</w:t>
            </w:r>
          </w:p>
          <w:p w14:paraId="3D651E2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2.绝缘电阻在正常范围，无放电痕迹或电弧烧伤；</w:t>
            </w:r>
          </w:p>
          <w:p w14:paraId="6B4358F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3.仪表显示准确，无偏差，指示灯正常。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2963">
            <w:pPr>
              <w:numPr>
                <w:ilvl w:val="0"/>
                <w:numId w:val="7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1187CFA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837EF6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.目视检查开关柜表面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无破损、变形、鼓包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，查看有无放电痕迹；</w:t>
            </w:r>
          </w:p>
          <w:p w14:paraId="24E7732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.检查仪表显示数值，与实际运行参数对比。</w:t>
            </w:r>
          </w:p>
          <w:p w14:paraId="5E39258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161E37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1.检测绝缘电阻；</w:t>
            </w:r>
          </w:p>
          <w:p w14:paraId="33603F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2.定期对仪表进行校准，确保显示准确。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26C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646B64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4E1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4D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6C83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AAF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低压配电柜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293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1.接线牢固，无松动，端子无过热变色；</w:t>
            </w:r>
          </w:p>
          <w:p w14:paraId="6E88FF3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2.断路器动作正常，分合闸无卡滞，保护功能有效；</w:t>
            </w:r>
          </w:p>
          <w:p w14:paraId="18B3D1D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3.柜内无过热或烧焦痕迹，无异味。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5468">
            <w:pPr>
              <w:numPr>
                <w:ilvl w:val="0"/>
                <w:numId w:val="7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70401E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5FCAF3B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1.目视和手动检查接线；</w:t>
            </w:r>
          </w:p>
          <w:p w14:paraId="07F538D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2.检查保护动作情况；</w:t>
            </w:r>
          </w:p>
          <w:p w14:paraId="65920C6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3.检测端子温度。</w:t>
            </w:r>
          </w:p>
          <w:p w14:paraId="2EF3DBF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C4B2E5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1.对配电柜进行全面检测，查看有无过热点；</w:t>
            </w:r>
          </w:p>
          <w:p w14:paraId="4B3D604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2.定期进行一次保护功能校验，模拟故障情况，检查保护动作准确性。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3EC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DAB96C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401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8C4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C0D0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384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配电箱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478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1.箱体密封良好，无灰尘或异物；</w:t>
            </w:r>
          </w:p>
          <w:p w14:paraId="4CEEB4F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2.开关动作灵活，指示灯显示正常；</w:t>
            </w:r>
          </w:p>
          <w:p w14:paraId="7CA09CE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3.接线牢固，无松动，端子无过热变色。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F2BF8">
            <w:pPr>
              <w:numPr>
                <w:ilvl w:val="0"/>
                <w:numId w:val="7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336A6D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52AAF5C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1.目视检查箱体，查看密封胶条是否完好，有无灰尘迹象；</w:t>
            </w:r>
          </w:p>
          <w:p w14:paraId="03A36F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2.观察指示灯状态；</w:t>
            </w:r>
          </w:p>
          <w:p w14:paraId="30066CD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3.检查接线是否松动。</w:t>
            </w:r>
          </w:p>
          <w:p w14:paraId="01893C0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8CFE76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1.检测配电箱绝缘电阻；</w:t>
            </w:r>
          </w:p>
          <w:p w14:paraId="2AED299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2.定期对配电箱进行一次全面清洁，检查内部有无异物。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778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78FCE5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D25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97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D0FB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52D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电机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0E0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1.运行平稳，振动值在正常范围，无异常噪声；</w:t>
            </w:r>
          </w:p>
          <w:p w14:paraId="2392F44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2.轴承温度、外壳温度在正常范围；</w:t>
            </w:r>
          </w:p>
          <w:p w14:paraId="57B29B3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3.绝缘电阻在正常范围。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63A0">
            <w:pPr>
              <w:numPr>
                <w:ilvl w:val="0"/>
                <w:numId w:val="7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5CCE39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044ECD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1.听电机运行声音，有无异常噪声；</w:t>
            </w:r>
          </w:p>
          <w:p w14:paraId="1F3F59D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2.检测轴承温度和外壳温度。</w:t>
            </w:r>
          </w:p>
          <w:p w14:paraId="5C663D4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949EB7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1.检测电机振动值，与标准值对比；</w:t>
            </w:r>
          </w:p>
          <w:p w14:paraId="03DC0FA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2.定期检测绝缘电阻。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1D9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545F71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AB1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600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42B1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C9B0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电缆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308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1.外皮无破损、老化或龟裂，铠装层无锈蚀；</w:t>
            </w:r>
          </w:p>
          <w:p w14:paraId="7085EAA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2.接头无过热或烧焦痕迹，绝缘包扎完好；</w:t>
            </w:r>
          </w:p>
          <w:p w14:paraId="5C88EDE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3.敷设路径无机械损伤，电缆桥架无变形或脱落。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7956">
            <w:pPr>
              <w:numPr>
                <w:ilvl w:val="0"/>
                <w:numId w:val="7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B67A2B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1DA5BD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1.目视检查电缆外皮和接头，查看有无破损、老化、龟裂、烧焦痕迹；</w:t>
            </w:r>
          </w:p>
          <w:p w14:paraId="010114C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2.检测接头温度；</w:t>
            </w:r>
          </w:p>
          <w:p w14:paraId="2186E47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3.检查电缆敷设路径，查看有无机械损伤，电缆桥架是否牢固。</w:t>
            </w:r>
          </w:p>
          <w:p w14:paraId="4EF6AE3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885B62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1.检测电缆内部有无隐患；</w:t>
            </w:r>
          </w:p>
          <w:p w14:paraId="6CA8D8D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2.定期对电缆桥架进行一次全面检查，包括紧固螺栓、检查防腐层等。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2B90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BD1C33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2E9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F1E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3DFC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924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照明灯具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B52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1.灯具完好，灯罩无破损，光源无闪烁；</w:t>
            </w:r>
          </w:p>
          <w:p w14:paraId="20F9AEC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2.照明亮度符合设计要求；</w:t>
            </w:r>
          </w:p>
          <w:p w14:paraId="25B3BE4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3.接线牢固，无松动，端子无过热变色。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4810">
            <w:pPr>
              <w:numPr>
                <w:ilvl w:val="0"/>
                <w:numId w:val="8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5B4765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72CAA1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1.目视检查灯具，查看灯罩是否破损，光源是否闪烁；</w:t>
            </w:r>
          </w:p>
          <w:p w14:paraId="77852C8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2.检查接线是否松动。</w:t>
            </w:r>
          </w:p>
          <w:p w14:paraId="4B096B5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368BD9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1.检测照明亮度，与设计值对比；</w:t>
            </w:r>
          </w:p>
          <w:p w14:paraId="243EAF9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2.定期对灯具进行一次全面清洁，检查灯具内部接线。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E3E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24D3F8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E8A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BEF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1271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FD4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UPS电源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24E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1.输出电压稳定；</w:t>
            </w:r>
          </w:p>
          <w:p w14:paraId="40237E2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2.电池外观无鼓包、漏液，电压在额定范围内；</w:t>
            </w:r>
          </w:p>
          <w:p w14:paraId="2CABF47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3.切换时间的切换功能正常。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3F96">
            <w:pPr>
              <w:numPr>
                <w:ilvl w:val="0"/>
                <w:numId w:val="8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26A4CD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312847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1.使用万用表检测输出电压；</w:t>
            </w:r>
          </w:p>
          <w:p w14:paraId="486F763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2.检查电池外观，查看有无鼓包、漏液；</w:t>
            </w:r>
          </w:p>
          <w:p w14:paraId="7717A27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3.检查电池电压。</w:t>
            </w:r>
          </w:p>
          <w:p w14:paraId="60C020F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5BE9C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1.进行充放电测试，检查电池性能；</w:t>
            </w:r>
          </w:p>
          <w:p w14:paraId="3C99AB9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2.定期模拟断电测试切换时间。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A31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FD2894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BC5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EFA5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B925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174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防雷与接地装置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9D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1.接地电阻符合要求；</w:t>
            </w:r>
          </w:p>
          <w:p w14:paraId="2B261C0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2.防雷器外观完好，无烧损或裂纹；</w:t>
            </w:r>
          </w:p>
          <w:p w14:paraId="700D582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3.连接点无锈蚀，螺栓紧固，接地线无断裂。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ECA6">
            <w:pPr>
              <w:numPr>
                <w:ilvl w:val="0"/>
                <w:numId w:val="8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40F739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FD27F8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1.定期检测接地电阻；</w:t>
            </w:r>
          </w:p>
          <w:p w14:paraId="097290A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2.目视检查防雷器，查看有无烧损、裂纹；</w:t>
            </w:r>
          </w:p>
          <w:p w14:paraId="0B23CB6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3.检查连接点，查看有无锈蚀，紧固螺栓。</w:t>
            </w:r>
          </w:p>
          <w:p w14:paraId="77400B5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6F009E7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每2年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进行防雷检测，包括防雷器性能测试、接地系统评估等。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1C9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5C15522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专项检查（防雷检测）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A47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3E7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59FC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E04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柴油发电机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F9C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1.启动时间正常，运行平稳，无异常噪声或振动；</w:t>
            </w:r>
          </w:p>
          <w:p w14:paraId="6D3A30E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2.油位在刻度范围内，冷却水位正常；</w:t>
            </w:r>
          </w:p>
          <w:p w14:paraId="6C72B1F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3.输出电压偏差、频率偏差正常。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EC15">
            <w:pPr>
              <w:numPr>
                <w:ilvl w:val="0"/>
                <w:numId w:val="8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B6AA0A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4A1AA9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1.启动柴油发电机，测试启动时间；</w:t>
            </w:r>
          </w:p>
          <w:p w14:paraId="4919413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2.检查油位和水位；</w:t>
            </w:r>
          </w:p>
          <w:p w14:paraId="68E87C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3.检测输出电压，输出频率。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759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129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1FA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C9C5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8F4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综保柜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2C1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1.保护功能正常，过流、短路、接地保护动作准确；</w:t>
            </w:r>
          </w:p>
          <w:p w14:paraId="50CE9ED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2.显示和报警功能正常，无误报或漏报；</w:t>
            </w:r>
          </w:p>
          <w:p w14:paraId="21B11C1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3.接线牢固，无松动，端子无过热变色。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553C">
            <w:pPr>
              <w:numPr>
                <w:ilvl w:val="0"/>
                <w:numId w:val="8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622AA5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AED0F9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查看综保柜显示界面，检查有无报警信息。</w:t>
            </w:r>
          </w:p>
          <w:p w14:paraId="4183580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6D5F14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1.模拟过流、短路、接地故障，测试保护功能；</w:t>
            </w:r>
          </w:p>
          <w:p w14:paraId="3896ACC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2.定期对综保柜进行一次功能校验，确保显示和报警功能正常。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22A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D919B7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F78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B57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021C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005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电力安全工器具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8C84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1.绝缘性能良好；</w:t>
            </w:r>
          </w:p>
          <w:p w14:paraId="5EF8A6C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2.外观无破损、裂纹或老化；</w:t>
            </w:r>
          </w:p>
          <w:p w14:paraId="04242A9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3.在有效校验期内，校验标签清晰可见。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CE92">
            <w:pPr>
              <w:numPr>
                <w:ilvl w:val="0"/>
                <w:numId w:val="8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0DEA55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879961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1.定期检测绝缘性能；</w:t>
            </w:r>
          </w:p>
          <w:p w14:paraId="4B8056A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2.目视检查安全工器具外观，查看有无破损、裂纹、老化；</w:t>
            </w:r>
          </w:p>
          <w:p w14:paraId="158A5F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3.核对校验标签，检查是否在有效期内。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C91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AAC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BE87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0FF3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32A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电能表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088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1.计量准确，误差在正常范围；</w:t>
            </w:r>
          </w:p>
          <w:p w14:paraId="0C6D1A8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2.显示正常，无乱码或闪烁；</w:t>
            </w:r>
          </w:p>
          <w:p w14:paraId="50A0888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3.接线牢固，无松动，端子无过热变色。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C106">
            <w:pPr>
              <w:numPr>
                <w:ilvl w:val="0"/>
                <w:numId w:val="8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A30CC4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D1AD75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1.定期使用标准表比对电能表计量；</w:t>
            </w:r>
          </w:p>
          <w:p w14:paraId="29C3892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2.目视检查电能表显示，查看有无乱码、闪烁；</w:t>
            </w:r>
          </w:p>
          <w:p w14:paraId="4D72977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3.检查接线是否松动。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277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F68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4B4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5485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CFA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变频器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1A1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1.运行参数正常，输出电压和频率符合设定值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4B7288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2.散热风扇运转正常，散热片无积尘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19A3E5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3.无报警或故障代码，历史故障记录可追溯。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BEFB">
            <w:pPr>
              <w:numPr>
                <w:ilvl w:val="0"/>
                <w:numId w:val="8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58C924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CD57C3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1.检查变频器运行参数，与设定值对比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50A7D7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2.目视检查散热风扇运转情况，查看散热片有无积尘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E7CA01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3.查看变频器显示界面，检查有无报警或故障代码。</w:t>
            </w:r>
          </w:p>
          <w:p w14:paraId="1E15717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7AF7C9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1.检测输出电压，输出频率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24A63F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对变频器进行一次全面清洁，包括散热片清理。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221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32BD0D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5A5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EB45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992A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563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防爆电气设备</w:t>
            </w:r>
          </w:p>
        </w:tc>
        <w:tc>
          <w:tcPr>
            <w:tcW w:w="3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72C9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设备本体外壳无裂痕、变形，材质符合防爆等级；密封件无老化、硬化；防爆标识清晰；</w:t>
            </w:r>
          </w:p>
          <w:p w14:paraId="577D4737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接地系统接地电阻、接地线截面积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在正常范围；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接地螺栓无锈蚀，防松措施有效；</w:t>
            </w:r>
          </w:p>
          <w:p w14:paraId="4E1DC79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附件进线口密封良好，密封圈无破损，电缆引入符合 “一孔一缆” 原则；内部接线牢固，绝缘层无损伤，端子排无烧蚀痕迹。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2156"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日常检查：</w:t>
            </w:r>
          </w:p>
          <w:p w14:paraId="32FD0C6F">
            <w:pPr>
              <w:numPr>
                <w:ilvl w:val="0"/>
                <w:numId w:val="8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现场检查：</w:t>
            </w:r>
          </w:p>
          <w:p w14:paraId="34FC31ED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1.目视检查外壳、密封件、标识。</w:t>
            </w:r>
          </w:p>
          <w:p w14:paraId="1A33C055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.检查进线口密封。</w:t>
            </w:r>
          </w:p>
          <w:p w14:paraId="61CE5AF8">
            <w:pPr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综合性检查：</w:t>
            </w:r>
          </w:p>
          <w:p w14:paraId="4FC02FC8">
            <w:pPr>
              <w:numPr>
                <w:ilvl w:val="0"/>
                <w:numId w:val="8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5700C14A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1.查阅设备防爆合格证。</w:t>
            </w:r>
          </w:p>
          <w:p w14:paraId="236D69CF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2.检查接地电阻测试记录。</w:t>
            </w:r>
          </w:p>
          <w:p w14:paraId="2E6E7F5A">
            <w:pPr>
              <w:numPr>
                <w:ilvl w:val="0"/>
                <w:numId w:val="88"/>
              </w:numPr>
              <w:ind w:left="420" w:hanging="420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5FA9B5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测量接地电阻。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609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43A0F10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A8D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DE7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029D7857">
      <w:pPr>
        <w:textAlignment w:val="center"/>
        <w:rPr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br w:type="page"/>
      </w:r>
    </w:p>
    <w:p w14:paraId="6E1E4A5D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B.4  仪表安全检查表</w:t>
      </w:r>
    </w:p>
    <w:p w14:paraId="1B17CACD">
      <w:pPr>
        <w:jc w:val="center"/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>检查人：                    被检查负责人：                    检查时间：</w:t>
      </w:r>
    </w:p>
    <w:tbl>
      <w:tblPr>
        <w:tblStyle w:val="18"/>
        <w:tblW w:w="1394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400"/>
        <w:gridCol w:w="4130"/>
        <w:gridCol w:w="4040"/>
        <w:gridCol w:w="1840"/>
        <w:gridCol w:w="760"/>
        <w:gridCol w:w="760"/>
      </w:tblGrid>
      <w:tr w14:paraId="1564D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3E8E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检查项目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8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检查要求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F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检查方法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9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检查频次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D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3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建议</w:t>
            </w:r>
          </w:p>
        </w:tc>
      </w:tr>
      <w:tr w14:paraId="06CD5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090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工艺控制仪表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DC1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压力表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0EC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表盘清晰，表壳无变形、裂纹、腐蚀，指针能正常指示，铭牌信息完整，精度不低于1.6级；</w:t>
            </w:r>
          </w:p>
          <w:p w14:paraId="75EFB1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根部阀开启；</w:t>
            </w:r>
          </w:p>
          <w:p w14:paraId="31256E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连接部位无泄漏；</w:t>
            </w:r>
          </w:p>
          <w:p w14:paraId="774FD6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缓冲弯设置符合震动、高低温环境要求；</w:t>
            </w:r>
          </w:p>
          <w:p w14:paraId="6D8ECF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环境温度符合规定；</w:t>
            </w:r>
          </w:p>
          <w:p w14:paraId="13EB19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被测介质沸点低时有保温措施；</w:t>
            </w:r>
          </w:p>
          <w:p w14:paraId="003105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量程：稳定压力为1/3到2/3，脉动压力为1/3到1/2；</w:t>
            </w:r>
          </w:p>
          <w:p w14:paraId="395BED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半年检定合格且张贴合格证；</w:t>
            </w:r>
          </w:p>
          <w:p w14:paraId="45AE8A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泵出入口、压缩机出入口选耐震压力表，阻尼液体凝固温度低于当地最低环境温度，排凝口设双阀门或单阀门加堵丝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8C46B79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80A07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日常检查：</w:t>
            </w:r>
          </w:p>
          <w:p w14:paraId="68E6BB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查看表盘、指针、铭牌、合格证等外观，与准确设备对比读数，确认根部阀开启，清理表面。</w:t>
            </w:r>
          </w:p>
          <w:p w14:paraId="0A74B9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综合检查：</w:t>
            </w:r>
          </w:p>
          <w:p w14:paraId="6D828F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检查连接部位是否泄漏、缓冲弯设置、环境温度、保温措施，对比校准，检查量程范围、精度等级。</w:t>
            </w:r>
          </w:p>
          <w:p w14:paraId="63118D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专项检查：</w:t>
            </w:r>
          </w:p>
          <w:p w14:paraId="7EEA6A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核查半年检定情况，针对特殊位置压力表及排凝口阀门设置检查。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61C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日常检查</w:t>
            </w:r>
          </w:p>
          <w:p w14:paraId="23046E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综合性检查</w:t>
            </w:r>
          </w:p>
          <w:p w14:paraId="726766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专项检查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BB5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263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D2B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2A1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C1D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温度计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238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表盘、表壳平整无破损，指针灵活无卡滞，铭牌信息完整，精度在1.0级至2.5级；</w:t>
            </w:r>
          </w:p>
          <w:p w14:paraId="06CB7A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与准确设备读数差值在允许误差内；</w:t>
            </w:r>
          </w:p>
          <w:p w14:paraId="05C31F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安装牢固，位置便于观察维护且不受振动冲击，感温元件与介质充分接触；</w:t>
            </w:r>
          </w:p>
          <w:p w14:paraId="3573BD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校准合格且张贴合格证；</w:t>
            </w:r>
          </w:p>
          <w:p w14:paraId="0F2872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温度处于量程30%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～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80%；温度选型高于当地最低和最高温度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CC202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1D635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日常检查：</w:t>
            </w:r>
          </w:p>
          <w:p w14:paraId="1E2106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检查表盘、指针、铭牌、合格证，与准确设备对比读数，观察升温响应。</w:t>
            </w:r>
          </w:p>
          <w:p w14:paraId="3F17F5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综合检查：</w:t>
            </w:r>
          </w:p>
          <w:p w14:paraId="0FC2D7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查看安装牢固性、位置合理性、感温元件接触情况，对比校准，检查精度、量程范围。</w:t>
            </w:r>
          </w:p>
          <w:p w14:paraId="3C987C0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专项检查：</w:t>
            </w:r>
          </w:p>
          <w:p w14:paraId="7F19A6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确认校准情况，检查温度选型是否合适。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E60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BEB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F43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AA30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D4B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ED3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流量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计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B44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浮球或转子无裂痕、破损、划痕及气泡，透明度好，转子能自由浮动不卡滞，连接部件无损坏，螺纹或法兰完整，外壳无腐蚀，铭牌信息完整，精度符合要求；</w:t>
            </w:r>
          </w:p>
          <w:p w14:paraId="526735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无流体时转子停在零刻度；</w:t>
            </w:r>
          </w:p>
          <w:p w14:paraId="4938C9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阀门开启状态正确；</w:t>
            </w:r>
          </w:p>
          <w:p w14:paraId="28E76C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管道连接牢固无泄漏；</w:t>
            </w:r>
          </w:p>
          <w:p w14:paraId="1907BE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安装位置无强磁场、振动源、高温热源干扰；</w:t>
            </w:r>
          </w:p>
          <w:p w14:paraId="01C3D1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被测介质沸点低时有保温措施；</w:t>
            </w:r>
          </w:p>
          <w:p w14:paraId="086B26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流量处于量程30%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～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80%；</w:t>
            </w:r>
          </w:p>
          <w:p w14:paraId="464EB2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校准合格且张贴合格证；</w:t>
            </w:r>
          </w:p>
          <w:p w14:paraId="20E3AD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排凝口设双阀门或单阀门加堵丝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CAE60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C5181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4BB0A6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检查外观、铭牌、合格证，观察转子初始位置，确认阀门状态，清理表面。</w:t>
            </w:r>
          </w:p>
          <w:p w14:paraId="44F42F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6F38E1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检查管道连接、干扰因素、保温措施，对比校准，检查量程范围、精度等级。</w:t>
            </w:r>
          </w:p>
          <w:p w14:paraId="2E5550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76C23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核查校准情况，检查排凝口阀门设置。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0C0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0BE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30C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CC36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CDE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41A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液位仪表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924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液位计本体无变形、破损、腐蚀，连接部位牢固无泄漏，磁翻柱清洁且翻转灵活，浮子无卡阻、破损、变形，磁性正常，铭牌信息完整；</w:t>
            </w:r>
          </w:p>
          <w:p w14:paraId="524172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磁翻柱随液位变化准确翻转；</w:t>
            </w:r>
          </w:p>
          <w:p w14:paraId="47C131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阀门开启状态正确；</w:t>
            </w:r>
          </w:p>
          <w:p w14:paraId="03B942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连接部位无泄漏；</w:t>
            </w:r>
          </w:p>
          <w:p w14:paraId="7170D0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排凝口设双阀门或单阀门加堵丝；</w:t>
            </w:r>
          </w:p>
          <w:p w14:paraId="7C286E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安装位置无强磁场、振动源、高温热源干扰；</w:t>
            </w:r>
          </w:p>
          <w:p w14:paraId="19B728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被测介质沸点低时有保温措施；</w:t>
            </w:r>
          </w:p>
          <w:p w14:paraId="03A8517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量程与储罐高度一致；</w:t>
            </w:r>
          </w:p>
          <w:p w14:paraId="6B2E59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校准合格且张贴合格证；</w:t>
            </w:r>
          </w:p>
          <w:p w14:paraId="558EE1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液位变送器精度不低于1.0级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07EE5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6A1E8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6690A1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检查外观、铭牌、合格证，观察磁翻柱翻转，确认阀门状态。</w:t>
            </w:r>
          </w:p>
          <w:p w14:paraId="77E23F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E15C5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检查连接部位泄漏、排凝口设置、干扰因素、保温措施，对比校准，检查量程一致性。</w:t>
            </w:r>
          </w:p>
          <w:p w14:paraId="4D9678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728358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确认校准情况，检查部件性能、精度等级。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56C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F08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98D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F6F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62C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0C5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在线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分析仪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554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外壳无破损、变形、腐蚀，铭牌信息完整；</w:t>
            </w:r>
          </w:p>
          <w:p w14:paraId="01660D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仪器、探测器正常工作，数据采集准确无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误；</w:t>
            </w:r>
          </w:p>
          <w:p w14:paraId="2498A0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丢失、失真，与DCS画面数据一致；</w:t>
            </w:r>
          </w:p>
          <w:p w14:paraId="438D29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安装牢固；</w:t>
            </w:r>
          </w:p>
          <w:p w14:paraId="7BF875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气路管线连接紧密无泄漏，阀门开关灵活，过滤器、减压阀工作正常；</w:t>
            </w:r>
          </w:p>
          <w:p w14:paraId="63BCCC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电缆无破损、老化；防爆箱符合防爆要求；</w:t>
            </w:r>
          </w:p>
          <w:p w14:paraId="3516A2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分析小屋电气设备布线整齐、接地良好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；8.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符合防爆要求，配电箱及开关功能正常，可燃气和氧气检测系统正常投用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2F6F3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158A9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58AA5D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检查外观、铭牌，确认仪器、探测器工作及数据显示正常，清理表面。</w:t>
            </w:r>
          </w:p>
          <w:p w14:paraId="3CE52D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2D066B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检查安装牢固性、气路管线连接、电缆状况、防爆情况，检查小屋电气设备及检测系统。</w:t>
            </w:r>
          </w:p>
          <w:p w14:paraId="4D172C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592426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检查数据采集及特殊工况下性能，核查小屋安全要求。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E38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60A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8D3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F67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29E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D93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压力变送器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C52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外壳无破损、变形、腐蚀，铭牌信息完整，精度不低于0.5级；</w:t>
            </w:r>
          </w:p>
          <w:p w14:paraId="1872D2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变送器正常工作，阀门导通，输出稳定，无明显波动或漂移，零点无漂移，与DCS画面数据一致；</w:t>
            </w:r>
          </w:p>
          <w:p w14:paraId="286DE9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3.安装牢固；</w:t>
            </w:r>
          </w:p>
          <w:p w14:paraId="324834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4.连接部位无泄漏；</w:t>
            </w:r>
          </w:p>
          <w:p w14:paraId="578514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5.电缆无破损、老化；</w:t>
            </w:r>
          </w:p>
          <w:p w14:paraId="4D0E31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6.防爆情况符合要求；</w:t>
            </w:r>
          </w:p>
          <w:p w14:paraId="2A856B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7.震动、高低温环境有缓冲弯；</w:t>
            </w:r>
          </w:p>
          <w:p w14:paraId="63504E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8.排凝口设双阀门或单阀门加堵丝；</w:t>
            </w:r>
          </w:p>
          <w:p w14:paraId="09C54F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9.被测介质沸点低时有保温措施；</w:t>
            </w:r>
          </w:p>
          <w:p w14:paraId="3D1641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10.温度选型高于当地最低和最高温度；</w:t>
            </w:r>
          </w:p>
          <w:p w14:paraId="41E6C9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11.校准合格且张贴合格证；</w:t>
            </w:r>
          </w:p>
          <w:p w14:paraId="0FB188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12.特殊位置（泵出入口、压缩机出入口）选型正确。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C272C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AE02F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日常检查：</w:t>
            </w:r>
          </w:p>
          <w:p w14:paraId="3187B6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检查外观、铭牌、合格证，确认变送器工作、阀门导通、输出正常，清理表面。</w:t>
            </w:r>
          </w:p>
          <w:p w14:paraId="6E0855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4BA3ED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检查安装牢固性、连接部位泄漏、电缆状况、防爆情况，检查缓冲弯、排凝口、保温、温度选型，对比校准。</w:t>
            </w:r>
          </w:p>
          <w:p w14:paraId="74F440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专项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7062E51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核查校准情况，检查特殊位置选型、精度等级、量程范围。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507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7B5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3DD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D501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915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44D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液位变送器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84E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外壳无破损、变形、腐蚀，铭牌信息完整，精度不低于1.0级；</w:t>
            </w:r>
          </w:p>
          <w:p w14:paraId="5CB6F9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变送器正常工作，阀门导通，输出稳定，无明显波动或漂移，零点无漂移，与DCS画面数据一致；</w:t>
            </w:r>
          </w:p>
          <w:p w14:paraId="479C0C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安装牢固；</w:t>
            </w:r>
          </w:p>
          <w:p w14:paraId="1FFD59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连接部位无泄漏；</w:t>
            </w:r>
          </w:p>
          <w:p w14:paraId="6D286A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电缆无破损、老化；</w:t>
            </w:r>
          </w:p>
          <w:p w14:paraId="3C93A1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防爆情况符合要求；</w:t>
            </w:r>
          </w:p>
          <w:p w14:paraId="031075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排凝口设双阀门或单阀门加堵丝；</w:t>
            </w:r>
          </w:p>
          <w:p w14:paraId="6C3652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被测介质沸点低时有保温措施；</w:t>
            </w:r>
          </w:p>
          <w:p w14:paraId="7B51F7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温度选型高于当地最低和最高温度；</w:t>
            </w:r>
          </w:p>
          <w:p w14:paraId="01E660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校准合格且张贴合格证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E0E64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80AFA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日常检查：</w:t>
            </w:r>
          </w:p>
          <w:p w14:paraId="174F869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检查外观、铭牌、合格证，确认变送器工作、阀门导通、输出正常，清理表面。</w:t>
            </w:r>
          </w:p>
          <w:p w14:paraId="449E8B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综合检查：</w:t>
            </w:r>
          </w:p>
          <w:p w14:paraId="71FC6E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检查安装牢固性、连接部位泄漏、电缆状况、防爆情况，检查排凝口、保温、温度选型，对比校准。</w:t>
            </w:r>
          </w:p>
          <w:p w14:paraId="0D24F8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专项检查：</w:t>
            </w:r>
          </w:p>
          <w:p w14:paraId="761E6E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核查校准情况，检查精度等级、量程范围。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461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617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95D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D5A0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17A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A15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流量变送器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D3C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外壳无破损、变形、腐蚀，铭牌信息完整，精度不低于0.5级；</w:t>
            </w:r>
          </w:p>
          <w:p w14:paraId="56B1F7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变送器正常工作，阀门导通，输出稳定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无明显波动或漂移，零点无漂移，与DCS画面数据一致；</w:t>
            </w:r>
          </w:p>
          <w:p w14:paraId="76BE29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安装牢固；</w:t>
            </w:r>
          </w:p>
          <w:p w14:paraId="25A168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连接部位无泄漏；</w:t>
            </w:r>
          </w:p>
          <w:p w14:paraId="60C930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电缆无破损、老化；</w:t>
            </w:r>
          </w:p>
          <w:p w14:paraId="5548BC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防爆情况符合要求；</w:t>
            </w:r>
          </w:p>
          <w:p w14:paraId="2E3C6A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排凝口设双阀门或单阀门加堵丝；</w:t>
            </w:r>
          </w:p>
          <w:p w14:paraId="736CC6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被测介质沸点低时有保温措施；</w:t>
            </w:r>
          </w:p>
          <w:p w14:paraId="7F5F3C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温度选型高于当地最低和最高温度；</w:t>
            </w:r>
          </w:p>
          <w:p w14:paraId="11773F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校准合格且张贴合格证；</w:t>
            </w:r>
          </w:p>
          <w:p w14:paraId="2AB1A1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</w:t>
            </w:r>
            <w:bookmarkStart w:id="75" w:name="_GoBack"/>
            <w:bookmarkEnd w:id="75"/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流量处于量程30%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～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80%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E004F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1258B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日常检查：</w:t>
            </w:r>
          </w:p>
          <w:p w14:paraId="11AC40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检查外观、铭牌、合格证，确认变送器工作、阀门导通、输出正常，清理表面。</w:t>
            </w:r>
          </w:p>
          <w:p w14:paraId="6E74AD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综合检查：</w:t>
            </w:r>
          </w:p>
          <w:p w14:paraId="0EE4C8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检查安装牢固性、连接部位泄漏、电缆状况、防爆情况，检查排凝口、保温、温度选型，对比校准，检查量程范围。</w:t>
            </w:r>
          </w:p>
          <w:p w14:paraId="0B942F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专项检查：</w:t>
            </w:r>
          </w:p>
          <w:p w14:paraId="3E17C3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核查校准情况，检查精度等级、排凝口设置。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E65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C5C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87E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251E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9B4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80E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温度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变送器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0D6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外壳无破损、变形、腐蚀，铭牌信息完整，精度不低于1.5级；</w:t>
            </w:r>
          </w:p>
          <w:p w14:paraId="355060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变送器正常工作，数据显示准确，无明显波动或漂移，零点无漂移，与DCS画面数据一致；</w:t>
            </w:r>
          </w:p>
          <w:p w14:paraId="422777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安装牢固；</w:t>
            </w:r>
          </w:p>
          <w:p w14:paraId="65D1E7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电缆无破损、老化；</w:t>
            </w:r>
          </w:p>
          <w:p w14:paraId="4C81CC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防爆情况符合要求；</w:t>
            </w:r>
          </w:p>
          <w:p w14:paraId="483F5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感温元件与被测介质充分接触；</w:t>
            </w:r>
          </w:p>
          <w:p w14:paraId="405AAB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温度选型高于当地最低和最高温度；</w:t>
            </w:r>
          </w:p>
          <w:p w14:paraId="5C4B5F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校准合格且张贴合格证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7FBC6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4A1C5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7B322C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检查外观、铭牌、合格证，确认变送器工作、数据显示正常，清理表面。</w:t>
            </w:r>
          </w:p>
          <w:p w14:paraId="07DB07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5EA606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检查安装牢固性、电缆状况、防爆情况，检查感温元件接触、温度选型，对比校准。</w:t>
            </w:r>
          </w:p>
          <w:p w14:paraId="1EF39D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7CBC06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核查校准情况，检查精度等级。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1BD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9B1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960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DEDF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1B97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阀门与执行机构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B69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液动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阀门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8A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阀门表面无腐蚀、划痕、裂纹，涂层完好，铭牌信息完整；</w:t>
            </w:r>
          </w:p>
          <w:p w14:paraId="265BC2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手动操作灵活无卡滞，连接部位牢固无泄漏，液动执行机构无泄漏，油位正常、油质清洁，远程控制功能正常，阀门位置反馈信号与实际一致，运行无异常振动、噪声，变送器正常；</w:t>
            </w:r>
          </w:p>
          <w:p w14:paraId="520715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附件温度选型高于当地最低和最高温度；</w:t>
            </w:r>
          </w:p>
          <w:p w14:paraId="4FDA77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特殊防护措施到位；</w:t>
            </w:r>
          </w:p>
          <w:p w14:paraId="669728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相关仪表传感器工作正常；</w:t>
            </w:r>
          </w:p>
          <w:p w14:paraId="3A9945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高压力下密封良好，限位装置准确可靠，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执行机构性能稳定；</w:t>
            </w:r>
          </w:p>
          <w:p w14:paraId="468BB9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具备安全保护措施且有效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38C26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BF165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6CB8C2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检查外观、铭牌、合格证，手动操作检查灵活性，检查连接部位、油位、泄漏情况，远程控制检查，听运行声音，检查变送器。</w:t>
            </w:r>
          </w:p>
          <w:p w14:paraId="05030E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4EFF85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检查附件温度选型，检查特殊防护措施，检查相关仪表传感器，检查特殊工况运行。</w:t>
            </w:r>
          </w:p>
          <w:p w14:paraId="5ADE7B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287899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检查高压力密封、限位装置、执行机构性能，核查安全保护措施。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962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日常检查</w:t>
            </w:r>
          </w:p>
          <w:p w14:paraId="212355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综合性检查</w:t>
            </w:r>
          </w:p>
          <w:p w14:paraId="433181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专项检查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46F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8ED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B8B4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28E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57E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气动阀门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E76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阀门表面无损伤、腐蚀、变形，涂层完好，铭牌信息完整；</w:t>
            </w:r>
          </w:p>
          <w:p w14:paraId="706CD3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手动操作灵活无卡滞，连接部位牢固无泄漏，气源管连接牢固无破损，气动执行机构无泄漏，气源压力在0.3-0.6MPa且稳定，远程控制功能正常，手动装置切换灵活可靠，运行无异常振动、噪声，变送器正常；</w:t>
            </w:r>
          </w:p>
          <w:p w14:paraId="14EF04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附件温度选型高于当地最低和最高温度；</w:t>
            </w:r>
          </w:p>
          <w:p w14:paraId="790940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相关仪表传感器工作正常；</w:t>
            </w:r>
          </w:p>
          <w:p w14:paraId="207965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高压力下密封良好，手动与气动切换顺畅；</w:t>
            </w:r>
          </w:p>
          <w:p w14:paraId="299A7BF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具备安全保护措施且有效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19FC5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E0898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10434E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检查外观、铭牌、合格证，手动操作检查灵活性，检查连接部位、气源管、泄漏情况，远程控制检查，手动装置检查，听运行声音，检查变送器。</w:t>
            </w:r>
          </w:p>
          <w:p w14:paraId="28730A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2947FC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检查附件温度选型，检查气源压力、相关仪表传感器，检查特殊工况运行。</w:t>
            </w:r>
          </w:p>
          <w:p w14:paraId="363018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BA499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检查高压力密封、手动与气动切换，核查安全保护措施。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0D6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EB1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DDD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0C32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F96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43A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电动阀门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50B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阀门表面无损伤、腐蚀、变形，涂层完好，铭牌信息完整；</w:t>
            </w:r>
          </w:p>
          <w:p w14:paraId="7D1A86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手动操作灵活无卡滞，连接部位牢固无泄漏，电源线连接牢固无破损，远程控制功能正常，手动装置切换灵活可靠，运行无异常振动、噪声，变送器正常，电机绝缘电阻符合规定要求；</w:t>
            </w:r>
          </w:p>
          <w:p w14:paraId="429F087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附件温度选型高于当地最低和最高温度；</w:t>
            </w:r>
          </w:p>
          <w:p w14:paraId="2D3096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电机绝缘良好，控制电路工作正常，相关仪表传感器工作正常；</w:t>
            </w:r>
          </w:p>
          <w:p w14:paraId="23F45E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高压力下密封良好，手动与电动切换顺畅；</w:t>
            </w:r>
          </w:p>
          <w:p w14:paraId="6CAB0E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具备安全保护措施且有效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51F1C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967C8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989A0F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检查外观、铭牌、合格证，手动操作检查灵活性，检查连接部位、电源线、泄漏情况，远程控制检查，手动装置检查，听运行声音，检查变送器，测绝缘电阻。</w:t>
            </w:r>
          </w:p>
          <w:p w14:paraId="1F440B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525617A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检查附件温度选型，检查电机绝缘、控制电路，检查相关仪表传感器，检查特殊工况运行。</w:t>
            </w:r>
          </w:p>
          <w:p w14:paraId="51BB1B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591CF3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检查高压力密封、手动与电动切换，核查安全保护措施。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C88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64B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075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69B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7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619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控制系统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174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DCS（分散控制系统）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E88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机柜内设备安装牢固，指示灯显示正常，无异常报警；</w:t>
            </w:r>
          </w:p>
          <w:p w14:paraId="405CFE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计算机、网络设备运行正常，网线连接牢固无破损，网络通信稳定；</w:t>
            </w:r>
          </w:p>
          <w:p w14:paraId="2620F0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系统日志无错误或异常记录，各工作站时间一致；</w:t>
            </w:r>
          </w:p>
          <w:p w14:paraId="4A6EF9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机柜、设备表面清洁；</w:t>
            </w:r>
          </w:p>
          <w:p w14:paraId="12BC21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室温在18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-28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17D8D2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机柜设置与图纸及I/O清单一致；</w:t>
            </w:r>
          </w:p>
          <w:p w14:paraId="7C41C1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供电接地正常，UPS放电时间不小于30min；</w:t>
            </w:r>
          </w:p>
          <w:p w14:paraId="696BDF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系统资源（CPU、内存）使用在正常范围，历史数据记录完整且存储期限大于90天；</w:t>
            </w:r>
          </w:p>
          <w:p w14:paraId="4F4FA3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特定功能正常，特殊工况下性能稳定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FFD36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6E7D7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613E9B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检查机柜内设备外观、指示灯，检查计算机、网络设备运行及网线连接，查看日志、时间，清理表面，测室温。</w:t>
            </w:r>
          </w:p>
          <w:p w14:paraId="43A7DB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27686D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检查机柜设置、供电接地、UPS放电，检查系统资源使用、历史数据，检查SIS逻辑图（若关联）。</w:t>
            </w:r>
          </w:p>
          <w:p w14:paraId="42332A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3A4441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检查特定功能（如历史数据存储期限等）及特殊工况下性能。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DA0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日常检查</w:t>
            </w:r>
          </w:p>
          <w:p w14:paraId="1E13CB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综合性检查</w:t>
            </w:r>
          </w:p>
          <w:p w14:paraId="5BA762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专项检查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6D6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E78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B84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2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8AF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0A6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SIS（安全仪表系统）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F0C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1.机柜内设备安装牢固，指示灯显示正常，无异常报警；</w:t>
            </w:r>
          </w:p>
          <w:p w14:paraId="43C0EE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2.计算机、网络设备运行正常，网线连接牢固无破损，网络通信稳定；</w:t>
            </w:r>
          </w:p>
          <w:p w14:paraId="329A4F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3.系统日志无错误或异常记录，各工作站时间一致；</w:t>
            </w:r>
          </w:p>
          <w:p w14:paraId="76DFB1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4.机柜、设备表面清洁；室温在18度-28度；</w:t>
            </w:r>
          </w:p>
          <w:p w14:paraId="4E35D0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5.机柜设置与图纸及I/O清单一致；</w:t>
            </w:r>
          </w:p>
          <w:p w14:paraId="213244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6.供电接地正常，UPS放电时间不小于30min；</w:t>
            </w:r>
          </w:p>
          <w:p w14:paraId="2FC7C7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7.系统资源（CPU、内存）使用在正常范围，SOE记录完整且存储期限大于1年；</w:t>
            </w:r>
          </w:p>
          <w:p w14:paraId="4DF2F8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8.SIL2以上回路独立于DCS回路；</w:t>
            </w:r>
          </w:p>
          <w:p w14:paraId="5AB6A4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9.特定功能正常，特殊工况下性能稳定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F98D8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46B85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2BCD30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检查机柜内设备外观、指示灯，检查计算机、网络设备运行及网线连接，查看日志、时间，清理表面，测室温。</w:t>
            </w:r>
          </w:p>
          <w:p w14:paraId="3A190C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7E16B8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检查机柜设置、供电接地、UPS放电，检查系统资源使用、SOE记录，检查SIL2以上回路独立性。</w:t>
            </w:r>
          </w:p>
          <w:p w14:paraId="76ECC1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408D1B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检查特定功能（如SOE记录完整性等）及特殊工况下性能。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F81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4C8A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B927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9785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3FF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3B8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ITCC/PLC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FFF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机柜内设备安装牢固，指示灯显示正常，无异常报警；</w:t>
            </w:r>
          </w:p>
          <w:p w14:paraId="7D161C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计算机、网络设备运行正常，网线连接牢固无破损，网络通信稳定；</w:t>
            </w:r>
          </w:p>
          <w:p w14:paraId="59188C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系统日志无错误或异常记录，各工作站时间一致；</w:t>
            </w:r>
          </w:p>
          <w:p w14:paraId="529B3D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机柜、设备表面清洁；</w:t>
            </w:r>
          </w:p>
          <w:p w14:paraId="658AC1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室温在18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-28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（机柜内）、5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-30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（现场机柜）；</w:t>
            </w:r>
          </w:p>
          <w:p w14:paraId="7FE0D8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机柜设置与图纸及I/O清单一致；</w:t>
            </w:r>
          </w:p>
          <w:p w14:paraId="72DE6D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供电接地正常，UPS放电时间不小于30min；</w:t>
            </w:r>
          </w:p>
          <w:p w14:paraId="04248C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系统资源（CPU、内存）使用在正常范围；</w:t>
            </w:r>
          </w:p>
          <w:p w14:paraId="417D0F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现场PLC柜隔爆或正压通风；</w:t>
            </w:r>
          </w:p>
          <w:p w14:paraId="1204E2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特定功能正常，特殊工况下性能稳定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4B9FE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A442F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374860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检查机柜内设备外观、指示灯，检查计算机、网络设备运行及网线连接，查看日志、时间，清理表面，测室温。</w:t>
            </w:r>
          </w:p>
          <w:p w14:paraId="510FE4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27F8AE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检查机柜设置、供电接地、UPS放电，检查系统资源使用，检查现场PLC柜防爆或通风情况。</w:t>
            </w:r>
          </w:p>
          <w:p w14:paraId="289B80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5A1E8F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检查特定功能（如远程急停按钮设置等）及特殊工况下性能。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878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19B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6CC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2D4C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9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270D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安全监控仪表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861F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可燃/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有毒气体报警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器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FBD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外壳无破损、变形、腐蚀，铭牌信息完整；</w:t>
            </w:r>
          </w:p>
          <w:p w14:paraId="24F383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安装牢固，电缆无破损、老化；</w:t>
            </w:r>
          </w:p>
          <w:p w14:paraId="5EEB75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探测器正常工作，气体浓度显示准确，与DCS画面数据一致，显示误差小于最大允许误差，在一定时间内输出稳定，零点无漂移；</w:t>
            </w:r>
          </w:p>
          <w:p w14:paraId="697CF6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年度检定合格且张贴合格证；</w:t>
            </w:r>
          </w:p>
          <w:p w14:paraId="27B031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设有声光报警器，区域报警设置合理；</w:t>
            </w:r>
          </w:p>
          <w:p w14:paraId="01EA50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特殊环境下性能可靠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0E578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89281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日常检查：</w:t>
            </w:r>
          </w:p>
          <w:p w14:paraId="2B291D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检查外观、铭牌、合格证，检查安装牢固性、电缆状况，确认探测器工作、数据显示正常，清理表面。</w:t>
            </w:r>
          </w:p>
          <w:p w14:paraId="1676B9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综合检查：</w:t>
            </w:r>
          </w:p>
          <w:p w14:paraId="374A5E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检查安装位置、覆盖半径、选型温度，检查与标准装置对比，检查声光报警、区域报警设置。</w:t>
            </w:r>
          </w:p>
          <w:p w14:paraId="0E4DDC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专项检查：</w:t>
            </w:r>
          </w:p>
          <w:p w14:paraId="21A6187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核查年度检定情况，检查特殊环境下性能。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C18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日常检查</w:t>
            </w:r>
          </w:p>
          <w:p w14:paraId="08AD98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综合性检查</w:t>
            </w:r>
          </w:p>
          <w:p w14:paraId="4BA49EC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专项检查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CBC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D25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2A8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9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399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38C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GDS（气体检测系统）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0BE36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机柜内设备安装牢固，指示灯显示正常，无异常报警；</w:t>
            </w:r>
          </w:p>
          <w:p w14:paraId="14994B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计算机、网络设备运行正常，网线连接牢固无破损，网络通信稳定；</w:t>
            </w:r>
          </w:p>
          <w:p w14:paraId="3EA1AD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系统日志无错误或异常记录，各工作站时间一致；</w:t>
            </w:r>
          </w:p>
          <w:p w14:paraId="1938F1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机柜、设备表面清洁；</w:t>
            </w:r>
          </w:p>
          <w:p w14:paraId="2BFF9DC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室温在18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-28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；</w:t>
            </w:r>
          </w:p>
          <w:p w14:paraId="7F1768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机柜设置与图纸及I/O清单一致；</w:t>
            </w:r>
          </w:p>
          <w:p w14:paraId="1BF5C1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供电接地正常，UPS放电时间不小于30min；</w:t>
            </w:r>
          </w:p>
          <w:p w14:paraId="4F33EF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系统资源（CPU、内存）使用在正常范围，SOE记录完整且存储期限大于1年；</w:t>
            </w:r>
          </w:p>
          <w:p w14:paraId="377D7B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探测器接线牢固，报警信号接入消防控制室正常；</w:t>
            </w:r>
          </w:p>
          <w:p w14:paraId="483E53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10.</w:t>
            </w:r>
            <w:r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特定功能正常，特殊工况下性能稳定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A992D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074C1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8AEEA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检查机柜内设备外观、指示灯，检查计算机、网络设备运行及网线连接，查看日志、时间，清理表面，测室温。</w:t>
            </w:r>
          </w:p>
          <w:p w14:paraId="009D0A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1E9967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检查机柜设置、供电接地、UPS放电，检查系统资源使用、SOE记录，检查探测器接线及报警信号接入。</w:t>
            </w:r>
          </w:p>
          <w:p w14:paraId="4FD267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68FB2C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检查特定功能（如报警准确性等）及特殊工况下性能。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86F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2B3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9AF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AEE1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A83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676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FGS（火灾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报警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系统）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D57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外壳无破损、变形、腐蚀，铭牌信息完整；</w:t>
            </w:r>
          </w:p>
          <w:p w14:paraId="675853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安装牢固，电缆无破损、老化；</w:t>
            </w:r>
          </w:p>
          <w:p w14:paraId="2577AE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设备正常运行，火灾探测灵敏，报警准确及时，与现场情况一致，误报率、漏报率符合标准；</w:t>
            </w:r>
          </w:p>
          <w:p w14:paraId="63045F6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安装位置符合设计要求；</w:t>
            </w:r>
          </w:p>
          <w:p w14:paraId="29B2E1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选型温度高于当地最低和最高温度；</w:t>
            </w:r>
          </w:p>
          <w:p w14:paraId="161C5C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报警功能正常，能迅速发出声光报警信号，根据警号识别报警位置并能即时打印，联动控制功能准确可靠；</w:t>
            </w:r>
          </w:p>
          <w:p w14:paraId="5BAE06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系统供电正常，UPS放电时间不小于30min，系统运行温度在18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-28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度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；特殊环境下性能可靠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53163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3972C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2C12BB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检查外观、铭牌、合格证，检查安装牢固性、电缆状况，确认设备运行、数据显示正常，清理表面。</w:t>
            </w:r>
          </w:p>
          <w:p w14:paraId="5634F5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09D30B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检查安装位置、选型温度，检查报警功能、联动控制，检查系统供电、温度。</w:t>
            </w:r>
          </w:p>
          <w:p w14:paraId="65DDB2F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：</w:t>
            </w:r>
          </w:p>
          <w:p w14:paraId="732495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检查误报漏报率、特殊环境下性能。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6B3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B07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3AC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CB3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D8DF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电源与通信系统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5F3C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UPS（不间断电源）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33B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外壳无变形、破损，标识清晰；</w:t>
            </w:r>
          </w:p>
          <w:p w14:paraId="05D81C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电池外观正常，无漏液、鼓包，连接牢固，电压正常，容量满足设计要求；</w:t>
            </w:r>
          </w:p>
          <w:p w14:paraId="083F17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参数设置正确，输出电压、频次稳定在允许偏差范围内；</w:t>
            </w:r>
          </w:p>
          <w:p w14:paraId="3AEB43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市电中断时切换功能正常，设备运行不受影响；</w:t>
            </w:r>
          </w:p>
          <w:p w14:paraId="332DDA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具备过载、短路等保护功能；</w:t>
            </w:r>
          </w:p>
          <w:p w14:paraId="39E81B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设有氢气探测器；</w:t>
            </w:r>
          </w:p>
          <w:p w14:paraId="6655CD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每个检修周期放电时间大于30min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E691D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E099A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122FFB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检查外壳、标识，检查电池外观、连接，核对参数，测输入输出电压，清理表面。</w:t>
            </w:r>
          </w:p>
          <w:p w14:paraId="4348AC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3AF2E7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检查放电切换功能、保护功能，检查氢气探测器设置。</w:t>
            </w:r>
          </w:p>
          <w:p w14:paraId="4D4DBE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68289A9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检查每个检修周期放电情况。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C02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日常检查</w:t>
            </w:r>
          </w:p>
          <w:p w14:paraId="2C2A4F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综合性检查</w:t>
            </w:r>
          </w:p>
          <w:p w14:paraId="70E16E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专项检查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8C3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B09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FF3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3EA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25B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视频监控系统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159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1.摄像头外壳无破损、变形、腐蚀，安装牢固，镜头清洁无污渍，安装角度符合监控需求；</w:t>
            </w:r>
          </w:p>
          <w:p w14:paraId="3B462B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2.监控画面清晰，无模糊、花屏、偏色、雪花点等异常，图像亮度、对比度、饱和度适中；</w:t>
            </w:r>
          </w:p>
          <w:p w14:paraId="69C383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3.云台转动灵活，无卡顿、异常噪声；</w:t>
            </w:r>
          </w:p>
          <w:p w14:paraId="0516C6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4.视频传输线无破损、老化；</w:t>
            </w:r>
          </w:p>
          <w:p w14:paraId="740EC9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5.视频信号传输稳定，无中断、丢包、卡顿；</w:t>
            </w:r>
          </w:p>
          <w:p w14:paraId="617DAB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6.存储设备空间满足至少30天视频存储要求；</w:t>
            </w:r>
          </w:p>
          <w:p w14:paraId="27DF55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7.中央控制室及重大危险源区域全覆盖监控并上传至应急管理部门；</w:t>
            </w:r>
          </w:p>
          <w:p w14:paraId="558C0F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8.特殊要求（如安装角度）符合规定。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5FB2E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B4289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BF80E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检查摄像头外观、安装，查看监控画面质量，操作云台，检查线路，清理表面。</w:t>
            </w:r>
          </w:p>
          <w:p w14:paraId="34326B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4A1AD5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检查存储设备空间，确认监控覆盖及上传情况。</w:t>
            </w:r>
          </w:p>
          <w:p w14:paraId="6C6A59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19D7FF1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检查特殊要求（如安装角度等）。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EC6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B79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564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722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2BF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BCE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扩呼系统</w:t>
            </w:r>
          </w:p>
        </w:tc>
        <w:tc>
          <w:tcPr>
            <w:tcW w:w="4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B46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扬声器外观无损坏、变形、腐蚀，表面涂层完好，安装牢固无松动摇晃，安装位置符合设计要求，能有效覆盖预定广播区域；</w:t>
            </w:r>
          </w:p>
          <w:p w14:paraId="56DE68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麦克风外观无损，拾音孔无堵塞，灵敏度正常，传输声音无明显失真、杂音；</w:t>
            </w:r>
          </w:p>
          <w:p w14:paraId="5C18B4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能够实现全区、分区广播功能，广播声音清晰、响亮；</w:t>
            </w:r>
          </w:p>
          <w:p w14:paraId="57CE97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现场电话、扩音器满足防爆等级、防护等级要求；</w:t>
            </w:r>
          </w:p>
          <w:p w14:paraId="7A7A27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不同区域广播声音覆盖均匀，麦克风在不同环境下灵敏度符合标准，与其他系统联动正常，线路连接牢固，供电稳定；</w:t>
            </w:r>
          </w:p>
          <w:p w14:paraId="12865F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6.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全区、分区广播声音清晰度高，音量均匀度好，麦克风在极端环境下能正常工作，系统在大音量长时间工作时无故障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DCE33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7527B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日常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64F0D1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检查扬声器外观、安装，用手轻晃扬声器确认安装牢固程度，查看喇叭网罩有无灰尘杂物并清理；</w:t>
            </w:r>
          </w:p>
          <w:p w14:paraId="6987D1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测试麦克风，在扩呼系统监听端收听声音效果；</w:t>
            </w:r>
          </w:p>
          <w:p w14:paraId="46E8C2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在控制主机上进行全区、分区广播操作；</w:t>
            </w:r>
          </w:p>
          <w:p w14:paraId="57AC2BA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检查现场电话、扩音器是否失爆。</w:t>
            </w:r>
          </w:p>
          <w:p w14:paraId="30B151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4E857B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在不同区域检查广播声音覆盖效果，测试麦克风在不同环境下的灵敏度；</w:t>
            </w:r>
          </w:p>
          <w:p w14:paraId="041FC4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检查扩呼系统与其他系统（如应急报警系统）的联动功能；</w:t>
            </w:r>
          </w:p>
          <w:p w14:paraId="4737A8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检查系统线路连接、供电稳定性。</w:t>
            </w:r>
          </w:p>
          <w:p w14:paraId="789DA0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专项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  <w:t>检查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</w:p>
          <w:p w14:paraId="0D1361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检查全区、分区广播声音的清晰度、音量均匀度；</w:t>
            </w:r>
          </w:p>
          <w:p w14:paraId="47A795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检查麦克风在极端环境（如高温、高湿度）下的工作性能；</w:t>
            </w:r>
          </w:p>
          <w:p w14:paraId="42B2C2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3.</w:t>
            </w:r>
            <w:r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检查系统在大音量长时间工作时的稳定性。</w:t>
            </w: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7CF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CB7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988E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i w:val="0"/>
                <w:iCs w:val="0"/>
                <w:snapToGrid w:val="0"/>
                <w:color w:val="00000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2732C8DD">
      <w:pPr>
        <w:textAlignment w:val="center"/>
        <w:rPr>
          <w:rFonts w:ascii="宋体" w:hAnsi="宋体" w:eastAsia="宋体" w:cs="宋体"/>
          <w:sz w:val="18"/>
          <w:szCs w:val="18"/>
          <w:lang w:eastAsia="zh-CN" w:bidi="ar"/>
        </w:rPr>
      </w:pPr>
      <w:r>
        <w:rPr>
          <w:rFonts w:hint="eastAsia" w:ascii="宋体" w:hAnsi="宋体" w:eastAsia="宋体" w:cs="宋体"/>
          <w:sz w:val="18"/>
          <w:szCs w:val="18"/>
          <w:lang w:eastAsia="zh-CN" w:bidi="ar"/>
        </w:rPr>
        <w:br w:type="page"/>
      </w:r>
    </w:p>
    <w:p w14:paraId="625089F2">
      <w:pPr>
        <w:rPr>
          <w:lang w:eastAsia="zh-CN"/>
        </w:rPr>
      </w:pPr>
      <w:bookmarkStart w:id="71" w:name="_Toc20768"/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/>
          <w:lang w:eastAsia="zh-CN"/>
        </w:rPr>
        <w:t>B.5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eastAsia="zh-CN"/>
        </w:rPr>
        <w:t>消防安全检查表</w:t>
      </w:r>
      <w:bookmarkEnd w:id="71"/>
    </w:p>
    <w:p w14:paraId="46C8E394">
      <w:pPr>
        <w:jc w:val="center"/>
        <w:rPr>
          <w:rFonts w:ascii="宋体" w:hAnsi="宋体" w:eastAsia="宋体" w:cs="宋体"/>
          <w:b/>
          <w:lang w:eastAsia="zh-CN"/>
        </w:rPr>
      </w:pPr>
      <w:r>
        <w:rPr>
          <w:rFonts w:hint="eastAsia" w:eastAsia="宋体"/>
          <w:lang w:eastAsia="zh-CN"/>
        </w:rPr>
        <w:t>检查人：                    被检查负责人：                    检查时间：</w:t>
      </w:r>
    </w:p>
    <w:tbl>
      <w:tblPr>
        <w:tblStyle w:val="18"/>
        <w:tblW w:w="135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4100"/>
        <w:gridCol w:w="4040"/>
        <w:gridCol w:w="1620"/>
        <w:gridCol w:w="780"/>
        <w:gridCol w:w="780"/>
      </w:tblGrid>
      <w:tr w14:paraId="2990C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tblHeader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765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检查项目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A03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检查要求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E39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检查方法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565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检查频次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7DA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检查结果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3EC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建议</w:t>
            </w:r>
          </w:p>
        </w:tc>
      </w:tr>
      <w:tr w14:paraId="413B5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179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消防车道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6E2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保持畅通无阻，不得堆放杂物、停放车辆等阻碍通行。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5210">
            <w:pPr>
              <w:numPr>
                <w:ilvl w:val="0"/>
                <w:numId w:val="8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2E31AB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D857FD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目视检查消防车道是否有障碍物。</w:t>
            </w:r>
          </w:p>
          <w:p w14:paraId="0C34110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47E89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定期对消防车道路面状况、周边环境等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1CF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E2AAB4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0F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B7B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8ECB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479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防火间距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CF3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1.防火间距严禁被占用，不得新建建筑物、构筑物或堆放物品以减少防火间距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2.防火间距内不得堆积易燃、可燃材料。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4206">
            <w:pPr>
              <w:numPr>
                <w:ilvl w:val="0"/>
                <w:numId w:val="9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73CB50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EF88C2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目视查看是否存在占用情况以及有无易燃、可燃材料堆积。</w:t>
            </w:r>
          </w:p>
          <w:p w14:paraId="1025952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CD6C81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定期使用测距仪测量防火间距。</w:t>
            </w:r>
          </w:p>
          <w:p w14:paraId="26C7D20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5AD254E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定期对防火间距进行一次全面排查，清理违规堆积物。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F86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9B8B8F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E9CD51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9D4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0A7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08BE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370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工厂建筑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006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1.不得擅自改变原设计功能，如防火分区、疏散通道等用途不得随意变更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2.疏散通道、安全出口应保持畅通，无杂物堆积、无障碍物设置，通道宽度符合要求，疏散路线标识清晰。安全出口数量、位置符合设计要求，门应向疏散方向开启，且无锁闭、堵塞现象，出口标识清晰可见。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E3FB1">
            <w:pPr>
              <w:numPr>
                <w:ilvl w:val="0"/>
                <w:numId w:val="9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01F3E1CA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A4E3F1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定期查阅设计图纸，对比实际情况，检查是否存在功能变更。</w:t>
            </w:r>
          </w:p>
          <w:p w14:paraId="56D754BC">
            <w:pPr>
              <w:numPr>
                <w:ilvl w:val="0"/>
                <w:numId w:val="9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DDA820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2BBC0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目视检查疏散通道是否有障碍物，安全出口是否堵塞。</w:t>
            </w:r>
          </w:p>
          <w:p w14:paraId="57CF2D2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204706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定期测量疏散通道宽度，检查疏散标识和安全出口数量、位置、门的开启方向。</w:t>
            </w:r>
          </w:p>
          <w:p w14:paraId="3F584E6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39C5518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定期对工厂建筑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进行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消防设施布局等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E4F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3F615B9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15033A4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4C6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9F8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45A1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93E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灭火器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1DF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1.外观应无破损、变形，喷管无堵塞，保险销完好无损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2.压力需在正常范围内，指针指示正确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3.在有效期内，灭火剂无变质现象，药剂量符合规定要求。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76E8">
            <w:pPr>
              <w:numPr>
                <w:ilvl w:val="0"/>
                <w:numId w:val="9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8D07B8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11F83F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观察灭火器外观，检查喷管、保险销。</w:t>
            </w:r>
          </w:p>
          <w:p w14:paraId="2116951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A625E9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查看压力指针，检查有效期。</w:t>
            </w:r>
          </w:p>
          <w:p w14:paraId="2AD3620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0A658A8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定期对灭火器进行一次全面检测，包括灭火剂成分分析、称重检查药剂重量。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35E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5A0EF7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A0F1DD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AB5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65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0B10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69E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消防炮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BE3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1.外观无损坏、变形，炮筒无堵塞，操作机构灵活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A5150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2.俯仰、回转角度符合设计要求，能覆盖指定区域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C805B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3.喷射压力、射程满足消防需求，在规定压力下正常工作。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612C">
            <w:pPr>
              <w:numPr>
                <w:ilvl w:val="0"/>
                <w:numId w:val="9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0C3B95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FA9143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目视检查消防炮外观、炮筒、操作机构。</w:t>
            </w:r>
          </w:p>
          <w:p w14:paraId="5479803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4395A1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操作消防炮，检查俯仰、回转角度。</w:t>
            </w:r>
          </w:p>
          <w:p w14:paraId="3742B59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53E594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进行喷射试验，测试喷射压力、射程。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A07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E0332F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BC66AD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CCC4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F53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A82D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42F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室内消防设施（消火栓、水带、喷枪）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6EE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1.外观无损坏、变形，箱门开启灵活，标识清晰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2.阀门开关灵活，无漏水现象，开启后能正常供水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3.水带无破损、发霉，接口连接牢固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4.喷枪无堵塞、损坏，喷射形状正常。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2261">
            <w:pPr>
              <w:numPr>
                <w:ilvl w:val="0"/>
                <w:numId w:val="9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380BF5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D38B60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检查消火栓外观、箱门和标识。</w:t>
            </w:r>
          </w:p>
          <w:p w14:paraId="73AD2E4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5D5F31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操作阀门，检查漏水情况，检查水带外观和接口，检查喷枪。</w:t>
            </w:r>
          </w:p>
          <w:p w14:paraId="0BDAF54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69FF477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定期进行一次消火栓系统的全面测试，包括供水压力、水带耐压等。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179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E47C02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1A32AA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0F0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FEA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9167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2B3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重点部位（液化工艺区、装卸区、储罐区等）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24F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1.按设计要求配备相应消防设施，且数量、位置正确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2.消防设施外观无损坏、变形，功能正常，如灭火器压力正常、消火栓能正常供水、泡沫灭火系统能正常产生泡沫等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3.重点部位无火灾隐患，如无易燃易爆物品泄漏、无违规动火作业、无电气设备故障等。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E9DA">
            <w:pPr>
              <w:numPr>
                <w:ilvl w:val="0"/>
                <w:numId w:val="9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5FA2D0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99E67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检查重点部位是否存在火灾隐患，如易燃易爆物品泄漏、违规动火作业等。</w:t>
            </w:r>
          </w:p>
          <w:p w14:paraId="7CFFBE9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A3E9DE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对照设计图纸，检查消防设施配备情况，检查消防设施外观。</w:t>
            </w:r>
          </w:p>
          <w:p w14:paraId="4F3BE5C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7EBEFA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定期对重点部位的消防设施进行全面功能测试。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592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8A7D5F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9C8043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FD7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3EA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6D34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C57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消防设备房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820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1.设置位置符合设计要求，与其他区域有有效的防火分隔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2.有专人值班，值班人员熟悉设备操作和应急处置流程，值班记录完整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3.房内消防设施完好，无损坏、过期情况，应急照明和疏散指示标志正常。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2A48">
            <w:pPr>
              <w:numPr>
                <w:ilvl w:val="0"/>
                <w:numId w:val="9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76B8D6C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5D809B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查阅设计图纸，查看消防设备房设置位置和平面布置。</w:t>
            </w:r>
          </w:p>
          <w:p w14:paraId="1BFA5B9F">
            <w:pPr>
              <w:numPr>
                <w:ilvl w:val="0"/>
                <w:numId w:val="9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E99B2E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972624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检查值班人员在岗情况。</w:t>
            </w:r>
          </w:p>
          <w:p w14:paraId="5431F7F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C02B05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定期询问值班人员对设备操作和应急处置流程的熟悉程度，查看值班记录，检查房内消防设施，查看应急照明和疏散指示标志功能。</w:t>
            </w:r>
          </w:p>
          <w:p w14:paraId="2E3321B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7AA140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定期对消防设备房防火分隔的有效性等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检查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96B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A404BF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1FAE256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E95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303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5974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B95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消防泵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D3F9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1.外观无损坏、变形，油漆无脱落，标识清晰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2.运行平稳，无异常振动、噪声，电机温度正常，出口压力能满足消防用水需求，压力波动在允许范围内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3.机械密封良好，泄漏量在规定范围内；阀门等附件工作正常，开关灵活，无内漏和外漏。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DD55B">
            <w:pPr>
              <w:numPr>
                <w:ilvl w:val="0"/>
                <w:numId w:val="9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A5ED8C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53B01B0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检查外观和标识。</w:t>
            </w:r>
          </w:p>
          <w:p w14:paraId="260973E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3AFF34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1.使用振动仪、噪声仪检测运行状态，用温度计测量电机温度，查看出口压力计数值；</w:t>
            </w:r>
          </w:p>
          <w:p w14:paraId="2015CC6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2.观察密封处有无泄漏，用量具测量泄漏量，操作阀门，检查灵活性，用检漏工具检测泄漏情况。</w:t>
            </w:r>
          </w:p>
          <w:p w14:paraId="7F4E854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025C893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定期对消防泵进行一次全面维护和性能测试，包括叶轮磨损检测、泵体强度检测等。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6C9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53A37B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5776E8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C44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DD1D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EE43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17A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消防水池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761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1.水位应保持在正常范围内，高低液位报警装置灵敏可靠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2.水质符合消防用水要求，无浑浊、杂质，酸碱度在规定范围内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3.池体无渗漏，结构完好，表面无裂缝、脱落；附属设施完好，无损坏、变形。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96C4">
            <w:pPr>
              <w:numPr>
                <w:ilvl w:val="0"/>
                <w:numId w:val="10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8B6B67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481F3B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查看水位计读数。</w:t>
            </w:r>
          </w:p>
          <w:p w14:paraId="486F146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86DE53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1.模拟高低液位，检查报警装置；</w:t>
            </w:r>
          </w:p>
          <w:p w14:paraId="5AFE70B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2.采集水样检测水质指标，外观检查池体，检查附属设施外观和连接情况。</w:t>
            </w:r>
          </w:p>
          <w:p w14:paraId="6E3766E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5E74D71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定期对消防水池进行一次全面检测，包括池体的无损检测、附属设施的强度检测等。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2F0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853DBD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425432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578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B5C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C195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C84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泡沫灭火系统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762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1.罐体无破损、变形、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振动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，液位正常，罐体密封良好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2.比例混合器能准确按比例混合泡沫液和水，混合比例符合要求；泡沫发生器能正常产生泡沫，泡沫质量符合标准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3.管道无泄漏、无堵塞，阀门开关灵活，无内漏和外漏。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9E7F">
            <w:pPr>
              <w:numPr>
                <w:ilvl w:val="0"/>
                <w:numId w:val="10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0075B8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54F51B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检查泡沫罐外观，查看液位计。</w:t>
            </w:r>
          </w:p>
          <w:p w14:paraId="1EFF97A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E68B86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每月检测密封情况，沿线检查管道外观，操作阀门检查灵活性。</w:t>
            </w:r>
          </w:p>
          <w:p w14:paraId="22773B1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5323660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每季度进行混合比例测试，启动泡沫发生器，检查泡沫产生情况，对泡沫灭火系统进行全面维护。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17F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7BA87D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19FA41E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61D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DCF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6523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0F3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火灾报警系统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51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1.外观无损坏、变形，指示灯正常显示，报警灵敏准确，响应及时，报警声音清晰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2.与消防设施联动功能正常，在火灾报警时能按设定程序联动。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8807">
            <w:pPr>
              <w:numPr>
                <w:ilvl w:val="0"/>
                <w:numId w:val="10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293555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93E2B4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检查设备外观和连接情况，观察指示灯。</w:t>
            </w:r>
          </w:p>
          <w:p w14:paraId="010DE9B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DCC56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模拟火灾情况，检查报警功能。</w:t>
            </w:r>
          </w:p>
          <w:p w14:paraId="731561E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65A27B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定期进行联动测试，检查与其他消防设施的联动情况，对火灾报警系统进行全面维护和升级。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31B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487DC5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2B1D477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0AE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3C3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1AA9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45E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防火卷帘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69A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1.外观无破损、变形，表面无划痕；升降平稳，无卡顿、异常抖动，能在规定时间内升降到位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2.手动和自动控制功能正常，操作按钮灵敏，与墙体、地面等能有效密封。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61D2">
            <w:pPr>
              <w:numPr>
                <w:ilvl w:val="0"/>
                <w:numId w:val="10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A697EA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C2C531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操作升降按钮，观察升降情况。</w:t>
            </w:r>
          </w:p>
          <w:p w14:paraId="0B7D4AF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0B2A2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测试手动和自动控制功能，检查密封处缝隙。</w:t>
            </w:r>
          </w:p>
          <w:p w14:paraId="400C2E3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E56D38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定期对防火卷帘进行一次全面检测，包括电机性能检测、导轨平整度检测等。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5F3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09804D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2FEA4F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710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A09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C581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0520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消防应急照明和疏散指示标志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E14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1.外观无损坏，放电时亮度符合要求，持续时间满足疏散通道、安全出口等区域的照明要求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2.应急照明的设置位置和数量符合规定，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接线方式符合要求，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疏散指示标志方向正确，符合疏散路线要求，亮度能清晰指示疏散方向，在规定环境亮度下能正常工作。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7CD2">
            <w:pPr>
              <w:numPr>
                <w:ilvl w:val="0"/>
                <w:numId w:val="10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2807E6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67ED21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检查指示方向。</w:t>
            </w:r>
          </w:p>
          <w:p w14:paraId="1A4DD86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773CC6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在不同环境亮度下测量亮度，检查应急照明的设置位置和数量。</w:t>
            </w:r>
          </w:p>
          <w:p w14:paraId="70761F6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7E9EA56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定期对应急照明和疏散指示标志进行一次全面维护和更换，确保其性能符合要求。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404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D79BD6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5262FBD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690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0A4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1DDB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  <w:jc w:val="center"/>
        </w:trPr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A7F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消防培训和演练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1CF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1.定期组织消防应急培训，员工熟悉消防安全知识和应急处置方法，培训记录完整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2.制定消防应急预案，演练方案完善，演练记录完整，员工能熟练进行应急操作。</w:t>
            </w:r>
          </w:p>
        </w:tc>
        <w:tc>
          <w:tcPr>
            <w:tcW w:w="4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546D">
            <w:pPr>
              <w:numPr>
                <w:ilvl w:val="0"/>
                <w:numId w:val="10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资料检查：</w:t>
            </w:r>
          </w:p>
          <w:p w14:paraId="270D968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F54134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1.查阅培训记录，询问员工消防安全知识，检查员工对应急处置方法的掌握情况；</w:t>
            </w:r>
          </w:p>
          <w:p w14:paraId="6774760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2.定期查看演练记录，查看演练方案，评估演练效果，检查员工演练后执行情况，评估总结改进。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4E8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20B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71E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3113232B">
      <w:pPr>
        <w:textAlignment w:val="center"/>
        <w:rPr>
          <w:lang w:eastAsia="zh-CN"/>
        </w:rPr>
      </w:pPr>
      <w:r>
        <w:rPr>
          <w:rFonts w:asciiTheme="minorEastAsia" w:hAnsiTheme="minorEastAsia" w:eastAsiaTheme="minorEastAsia" w:cstheme="minorEastAsia"/>
          <w:lang w:eastAsia="zh-CN"/>
        </w:rPr>
        <w:br w:type="page"/>
      </w:r>
    </w:p>
    <w:p w14:paraId="4638F01B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72" w:name="_Toc17366"/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B.6  其他设施安全检查表</w:t>
      </w:r>
      <w:bookmarkEnd w:id="72"/>
    </w:p>
    <w:p w14:paraId="1160113B">
      <w:pPr>
        <w:pStyle w:val="17"/>
        <w:ind w:left="0" w:leftChars="0" w:firstLine="0"/>
        <w:jc w:val="center"/>
        <w:rPr>
          <w:rFonts w:ascii="宋体" w:hAnsi="宋体" w:eastAsia="宋体" w:cs="宋体"/>
          <w:b/>
          <w:lang w:eastAsia="zh-CN"/>
        </w:rPr>
      </w:pPr>
      <w:r>
        <w:rPr>
          <w:rFonts w:hint="eastAsia" w:eastAsia="宋体"/>
          <w:lang w:eastAsia="zh-CN"/>
        </w:rPr>
        <w:t>检查人：                    被检查负责人：                    检查时间：</w:t>
      </w:r>
    </w:p>
    <w:tbl>
      <w:tblPr>
        <w:tblStyle w:val="18"/>
        <w:tblW w:w="13918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4110"/>
        <w:gridCol w:w="4030"/>
        <w:gridCol w:w="1683"/>
        <w:gridCol w:w="829"/>
        <w:gridCol w:w="829"/>
      </w:tblGrid>
      <w:tr w14:paraId="09E35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tblHeader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BA9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检查项目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B2A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检查要求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DBE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检查方法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227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检查频次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87C3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检查结果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BC5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lang w:eastAsia="zh-CN" w:bidi="ar"/>
              </w:rPr>
              <w:t>建议</w:t>
            </w:r>
          </w:p>
        </w:tc>
      </w:tr>
      <w:tr w14:paraId="4CA66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97BC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中控室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56A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1.主体结构：无裂缝、沉降、变形等结构问题；</w:t>
            </w:r>
          </w:p>
          <w:p w14:paraId="2D533AA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排烟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：排烟系统完好且功能正常。排烟管道无破损、变形、堵塞，连接部位牢固，无泄漏现象；</w:t>
            </w:r>
          </w:p>
          <w:p w14:paraId="6CFD487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4BD2FC5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7827651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E8BEF">
            <w:pPr>
              <w:numPr>
                <w:ilvl w:val="0"/>
                <w:numId w:val="10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82B227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9D63C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5AE90F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2.查看温湿度计数值，检查通风系统出风口是否有风。</w:t>
            </w:r>
          </w:p>
          <w:p w14:paraId="3A11C87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743F51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排烟系统功能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51D485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2.对温湿度控制系统进行校准，清理通风系统滤网。</w:t>
            </w:r>
          </w:p>
          <w:p w14:paraId="2F6E2B0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307535B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1.对中控室进行全面结构检测，包括沉降观测；</w:t>
            </w:r>
          </w:p>
          <w:p w14:paraId="1B9B3BC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EF0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E925EF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052587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972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CAA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4167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A0B2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变电室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032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建筑防水、防潮、通风良好，无漏水、积水现象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DA8976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2.门窗安全：门窗完好，密封性良好；</w:t>
            </w:r>
          </w:p>
          <w:p w14:paraId="07C65F1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603B6A3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4.照明：照明充足，防爆灯具无损坏；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ab/>
            </w:r>
          </w:p>
          <w:p w14:paraId="6266D742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ab/>
            </w:r>
          </w:p>
          <w:p w14:paraId="3AD9856F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6.二氧化硫泄漏报警器正常。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F4EB">
            <w:pPr>
              <w:numPr>
                <w:ilvl w:val="0"/>
                <w:numId w:val="10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F2C8B1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AE132F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1.目视检查主体结构、门窗、照明灯具，检查有无漏水、积水；</w:t>
            </w:r>
          </w:p>
          <w:p w14:paraId="4C6D3BB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2.查看温湿度计数值，检查通风系统运行状态。</w:t>
            </w:r>
          </w:p>
          <w:p w14:paraId="1598E3B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5642C6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1.检查门窗性能，检测主体结构防水情况；</w:t>
            </w:r>
          </w:p>
          <w:p w14:paraId="0F087E9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2.对温湿度控制系统进行维护，清洁通风系统。</w:t>
            </w:r>
          </w:p>
          <w:p w14:paraId="53ECC3B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3D1D160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1.对变电室进行全面防水、防潮检测；</w:t>
            </w:r>
          </w:p>
          <w:p w14:paraId="1FE3D10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2.对照明和通风系统进行全面检修和升级。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5FCD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9527A8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C33A1D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0EF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CD28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09AA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68F1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分析实验室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68E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1.主体结构：无裂缝、沉降、变形等结构问题；</w:t>
            </w:r>
          </w:p>
          <w:p w14:paraId="43BD910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2.门窗安全：门窗完好，采用防腐蚀材质，密封性能良好，便于实验环境控制；</w:t>
            </w:r>
          </w:p>
          <w:p w14:paraId="5A7174B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4D983D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646F7189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5.通风：通风系统正常运行，无堵塞；</w:t>
            </w:r>
          </w:p>
          <w:p w14:paraId="475F93E2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6.各类气体管线无泄漏。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8996">
            <w:pPr>
              <w:numPr>
                <w:ilvl w:val="0"/>
                <w:numId w:val="10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FA1F9C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3F879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4E6D0DA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48B13CE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27A01B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2DA1CD1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2.对温湿度控制系统进行校准，清理通风系统。</w:t>
            </w:r>
          </w:p>
          <w:p w14:paraId="3345908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0EC61BC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1.对分析实验室进行全面结构检测，包括沉降观测；</w:t>
            </w:r>
          </w:p>
          <w:p w14:paraId="612381F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E70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A31FE1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AEE811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3D8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EBB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81A1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19FA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办公楼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D76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主体结构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建筑结构安全，无倾斜、裂缝，墙体、屋顶无渗漏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B738A4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门窗安全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门窗完好，密封性良好，无破损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A8C8E2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温湿度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：温度及湿度符合设备运行的要求；</w:t>
            </w:r>
          </w:p>
          <w:p w14:paraId="6D3719A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照明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照明充足，无损坏灯具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5E01C8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通风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通风系统正常运行，无堵塞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1B3EA8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6.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（如有）电梯运行正常，定期进行维护保养，有有效的检验合格标志，安全保护装置灵敏可靠。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CB0E">
            <w:pPr>
              <w:numPr>
                <w:ilvl w:val="0"/>
                <w:numId w:val="10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3D2B0A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4CFC4F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1.目视检查主体结构、门窗、照明灯具，检查有无渗漏；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2.查看温湿度计数值，检查通风系统运行状态；</w:t>
            </w:r>
          </w:p>
          <w:p w14:paraId="31C430D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3.查看电梯运行情况（如有）。</w:t>
            </w:r>
          </w:p>
          <w:p w14:paraId="4E9189C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05F9EE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2F60480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2.对温湿度控制系统进行维护，清洁通风系统；</w:t>
            </w:r>
          </w:p>
          <w:p w14:paraId="1BB735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3.检查电梯维护保养记录和检验合格标志（如有）。</w:t>
            </w:r>
          </w:p>
          <w:p w14:paraId="5E966D2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BE65FE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1.对办公楼进行全面结构检测；</w:t>
            </w:r>
          </w:p>
          <w:p w14:paraId="5FFA595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2.对照明和通风系统进行全面检修和升级；</w:t>
            </w:r>
          </w:p>
          <w:p w14:paraId="224152F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3.对电梯进行全面安全检测（如有）。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AB3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A10114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2573C8C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9668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681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9B59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BFD4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消防泵房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F55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1.主体结构：无裂缝、沉降、变形等结构问题，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无积水、杂物，保持整洁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382102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2.门窗安全：门窗完好，开启灵活，无破损；</w:t>
            </w:r>
          </w:p>
          <w:p w14:paraId="3FB2B5C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45F49F0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4.照明：照明充足，应急照明设备正常；</w:t>
            </w:r>
          </w:p>
          <w:p w14:paraId="5485ECE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D1C1">
            <w:pPr>
              <w:numPr>
                <w:ilvl w:val="0"/>
                <w:numId w:val="11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8C4944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87A613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1.目视检查主体结构、门窗、照明灯具，检查有无积水、杂物；</w:t>
            </w:r>
          </w:p>
          <w:p w14:paraId="49F0052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1803377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E727DF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1.检查门窗开启灵活性；</w:t>
            </w:r>
          </w:p>
          <w:p w14:paraId="1957EC2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2.对温湿度控制系统进行校准，清理通风系统；</w:t>
            </w:r>
          </w:p>
          <w:p w14:paraId="5D0BC2E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3.检查应急照明设备性能。</w:t>
            </w:r>
          </w:p>
          <w:p w14:paraId="2740E1E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7F260C9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1.对消防泵房进行全面结构检测，包括基础稳定性检测；</w:t>
            </w:r>
          </w:p>
          <w:p w14:paraId="71BCE75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197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9AF41C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37C1F4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BD6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3E1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F7D4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EF5E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厨房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FDF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1.主体结构：无裂缝、沉降、变形等结构问题，地面具备良好的排水性能；</w:t>
            </w:r>
          </w:p>
          <w:p w14:paraId="4DE8563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2.门窗安全：门窗完好，密封性良好，无破损；</w:t>
            </w:r>
          </w:p>
          <w:p w14:paraId="654008C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649E2FE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23A0C12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5.通风：通风系统正常运行，无堵塞；</w:t>
            </w:r>
          </w:p>
          <w:p w14:paraId="691EE841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6.燃气设施：连接牢固，无泄漏，阀门开关灵活，燃气报警器正常工作；</w:t>
            </w:r>
          </w:p>
          <w:p w14:paraId="098F8F23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7.用电线路完好，无破损。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05D0">
            <w:pPr>
              <w:numPr>
                <w:ilvl w:val="0"/>
                <w:numId w:val="11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508F49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39C6AF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1.目视检查主体结构、门窗、照明灯具，检查燃气设施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2C0A0A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2.查看温湿度计数值，检查通风系统运行状态。</w:t>
            </w:r>
          </w:p>
          <w:p w14:paraId="52E1255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261D37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1.检查门窗密封性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DFB69A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2.对温湿度控制系统进行维护，清理通风系统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111268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3.使用燃气泄漏检测仪检测燃气设施。</w:t>
            </w:r>
          </w:p>
          <w:p w14:paraId="1A00C4D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A8D43B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1.对厨房进行全面结构检测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86C109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2.对通风和照明系统进行全面检修和升级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4C41D8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3.对燃气设施进行全面维护和检测。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C81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63F360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2209A22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EC80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72C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9759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47A3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  <w:t>仓库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08B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仓库建筑结构安全，无裂缝、变形，屋顶、墙体无渗漏，门窗关闭紧密，具备防火、防盗、防潮、防虫等功能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CD8169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2.门窗安全：门窗完好，密封性良好，无破损；</w:t>
            </w:r>
          </w:p>
          <w:p w14:paraId="68E69A7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71C055E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7AACE2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6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.货物堆放整齐，分类存放，标识清晰，不超高、超宽、超重堆放，保持通道畅通，便于货物搬运和疏散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7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.对于储存危险化学品的仓库，应符合相关安全要求，配备相应的应急处理设备。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6DBF">
            <w:pPr>
              <w:numPr>
                <w:ilvl w:val="0"/>
                <w:numId w:val="11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AA1158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50C3870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1.目视检查主体结构、门窗、照明灯具，检查货物堆放情况；</w:t>
            </w:r>
          </w:p>
          <w:p w14:paraId="7820E19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207BAFA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40E8A4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7CDBEC9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2.对温湿度控制系统进行校准，清理通风系统；</w:t>
            </w:r>
          </w:p>
          <w:p w14:paraId="1C0FF6B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3.检查货物堆放是否符合要求。</w:t>
            </w:r>
          </w:p>
          <w:p w14:paraId="2B784AD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0DC89E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1.对仓库进行全面结构检测，包括屋顶防水检测；</w:t>
            </w:r>
          </w:p>
          <w:p w14:paraId="67A239C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2.对通风和照明系统进行全面维护和升级；</w:t>
            </w:r>
          </w:p>
          <w:p w14:paraId="55906F1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3.对储存危险化学品的仓库进行全面安全检查（如有）。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2F51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9803EA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17EF7BD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E6FF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816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95C2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B652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通信室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C46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1.主体结构：无裂缝、沉降、变形等结构问题，通信室结构满足通信设备安装和运行的荷载要求；</w:t>
            </w:r>
          </w:p>
          <w:p w14:paraId="5D41C72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2.门窗安全：门窗完好，密封性良好，无破损；</w:t>
            </w:r>
          </w:p>
          <w:p w14:paraId="453160A3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3F8318F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23625D4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5B10">
            <w:pPr>
              <w:numPr>
                <w:ilvl w:val="0"/>
                <w:numId w:val="11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5D21D2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8B423D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71CF2F4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345526D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1BF9F3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6F4B885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2.对温湿度控制系统进行校准，清理通风系统滤网。</w:t>
            </w:r>
          </w:p>
          <w:p w14:paraId="3FB9AA5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50C8FC3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1.对通信室进行全面结构检测，包括沉降观测；</w:t>
            </w:r>
          </w:p>
          <w:p w14:paraId="4980825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9AC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B8251A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6182741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7D3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F033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004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C7B0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安保室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BBD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1.主体结构：无裂缝、沉降、变形等，安保室结构坚固，具备一定的防护能力；</w:t>
            </w:r>
          </w:p>
          <w:p w14:paraId="7FEEF9B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2.门窗安全：门窗完好，密封性良好，无破损；</w:t>
            </w:r>
          </w:p>
          <w:p w14:paraId="40E36751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0DEE683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0E213A0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3141">
            <w:pPr>
              <w:numPr>
                <w:ilvl w:val="0"/>
                <w:numId w:val="11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DBA571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0ACDED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22ED6F6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09D80DC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0953DB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386D9F0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2.对温湿度控制系统进行校准，清理通风系统。</w:t>
            </w:r>
          </w:p>
          <w:p w14:paraId="607B7C1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7C53FA9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1.对安保室进行全面结构检测；</w:t>
            </w:r>
          </w:p>
          <w:p w14:paraId="3CC2095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2.对照明和通风系统进行全面检修和升级。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E14C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A9F973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778138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35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59BB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CAA4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6D65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污水处理设施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C4A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1.主体结构：无裂缝、沉降、变形等结构问题，污水处理设施基础稳固，池体结构强度满足设计要求；</w:t>
            </w:r>
          </w:p>
          <w:p w14:paraId="6ABC413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2.门窗安全：门窗完好，密封性良好，无破损；</w:t>
            </w:r>
          </w:p>
          <w:p w14:paraId="531E7D9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53C52D4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4E66B656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5.通风：通风系统正常运行，无堵塞；</w:t>
            </w:r>
          </w:p>
          <w:p w14:paraId="1A493C8C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6.可燃气体探测器正常。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EE43">
            <w:pPr>
              <w:numPr>
                <w:ilvl w:val="0"/>
                <w:numId w:val="11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755A653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7E8F5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2F1A1E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1823DC2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2C2856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6B83F50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2.对温湿度控制系统进行校准，清理通风系统。</w:t>
            </w:r>
          </w:p>
          <w:p w14:paraId="405C64D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339453D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1.对污水处理设施进行全面结构检测，包括基础稳定性检测；</w:t>
            </w:r>
          </w:p>
          <w:p w14:paraId="5C61DFA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2DD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DC1439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A4B7B7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064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E7E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433A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A792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压缩空气站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08C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1.主体结构：无裂缝、沉降、变形等结构问题，压缩空气站建筑结构满足设备运行的振动和荷载要求；</w:t>
            </w:r>
          </w:p>
          <w:p w14:paraId="36A900A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2.门窗安全：门窗完好，密封性良好，无破损；</w:t>
            </w:r>
          </w:p>
          <w:p w14:paraId="0C89F2C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3.湿度：温度及湿度符合设备运行的要求；</w:t>
            </w:r>
          </w:p>
          <w:p w14:paraId="2332E74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72DE55D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1AC3">
            <w:pPr>
              <w:numPr>
                <w:ilvl w:val="0"/>
                <w:numId w:val="11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7BC811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5B0DF1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5D6B54B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799EB94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936410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116A06A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2.对温湿度控制系统进行校准，清理通风系统。</w:t>
            </w:r>
          </w:p>
          <w:p w14:paraId="2B8E35B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09AEBF4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1.对压缩空气站进行全面结构检测，包括沉降观测；</w:t>
            </w:r>
          </w:p>
          <w:p w14:paraId="0FEC3F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EE2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2FC72D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9CD8B9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637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496A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826F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DE56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氮气站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6A1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1.主体结构：无裂缝、沉降、变形等结构问题，建筑结构承载能力满足设备运行及相关规范要求；</w:t>
            </w:r>
          </w:p>
          <w:p w14:paraId="09B0239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2.门窗安全：门窗完好，密封性良好，无破损；</w:t>
            </w:r>
          </w:p>
          <w:p w14:paraId="775592C9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3.温湿度：温度及湿度符合设备运行的要求；</w:t>
            </w:r>
          </w:p>
          <w:p w14:paraId="4551EC5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4.照明：照明充足，无损坏灯具；</w:t>
            </w:r>
          </w:p>
          <w:p w14:paraId="72E38317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5.通风：通风系统正常运行，无堵塞；</w:t>
            </w:r>
          </w:p>
          <w:p w14:paraId="5256271F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6.氧气探测器正常。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F4E1">
            <w:pPr>
              <w:numPr>
                <w:ilvl w:val="0"/>
                <w:numId w:val="11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747286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FE5573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6C4F155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30F1C3C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5F1879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5DEB3F7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2.对温湿度控制系统进行校准，清理通风系统。</w:t>
            </w:r>
          </w:p>
          <w:p w14:paraId="24EF688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0F895C1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1.对氮气站进行全面结构检测；</w:t>
            </w:r>
          </w:p>
          <w:p w14:paraId="239E5A1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2.对照明和通风系统进行全面检修和升级。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CA4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9468F7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2FA65E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260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4F0C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4112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6C86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冷却水站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563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主体结构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无裂缝、沉降、变形等结构问题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，基础稳固，能承受设备运行产生的振动及荷载；</w:t>
            </w:r>
          </w:p>
          <w:p w14:paraId="07C2EE3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门窗安全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门窗完好，密封性良好，无破损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。门窗材质具备一定的防水、防锈蚀能力；</w:t>
            </w:r>
          </w:p>
          <w:p w14:paraId="5C39E3E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温湿度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：温度及湿度符合设备运行的要求；</w:t>
            </w:r>
          </w:p>
          <w:p w14:paraId="33E94E5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照明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照明充足，无损坏灯具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870352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通风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通风系统正常运行，无堵塞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09AF">
            <w:pPr>
              <w:numPr>
                <w:ilvl w:val="0"/>
                <w:numId w:val="11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687381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C80C3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62E8F33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1DC7BE4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2DB8B3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0B78027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2.对温湿度控制系统进行校准，清理通风系统。</w:t>
            </w:r>
          </w:p>
          <w:p w14:paraId="1603480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6EF023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1.对冷却水站进行全面结构检测，包括基础稳定性检测；</w:t>
            </w:r>
          </w:p>
          <w:p w14:paraId="6A35EC3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2F8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89052A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3C030E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E6E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76C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6FE3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0F4A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>应急发电机房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8F6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主体结构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无裂缝、沉降、变形等结构问题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，建筑结构符合应急发电设备的安装与运行要求；</w:t>
            </w:r>
          </w:p>
          <w:p w14:paraId="7C55343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门窗安全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门窗完好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，门窗具备防火、隔音功能，密封胶条性能良好，有效阻隔外界干扰；</w:t>
            </w:r>
          </w:p>
          <w:p w14:paraId="6BC2067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温湿度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：温度及湿度符合设备运行的要求；</w:t>
            </w:r>
          </w:p>
          <w:p w14:paraId="0D7FCCD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照明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照明充足，无损坏灯具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AE22F7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5.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通风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：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通风系统正常运行，无堵塞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2EC00">
            <w:pPr>
              <w:numPr>
                <w:ilvl w:val="0"/>
                <w:numId w:val="11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C648FD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8EF351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1.目视检查主体结构、门窗、照明灯具；</w:t>
            </w:r>
          </w:p>
          <w:p w14:paraId="3BD5D69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2.查看温湿度计数值，检查通风系统运行情况。</w:t>
            </w:r>
          </w:p>
          <w:p w14:paraId="1595D05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F65AA7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1.检查门窗密封性；</w:t>
            </w:r>
          </w:p>
          <w:p w14:paraId="6A4A48F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2.对温湿度控制系统进行校准，清理通风系统。</w:t>
            </w:r>
          </w:p>
          <w:p w14:paraId="3EDCFCA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3ED44D0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1.对应急发电机房进行全面结构检测，包括沉降观测；</w:t>
            </w:r>
          </w:p>
          <w:p w14:paraId="719B191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2.对通风和照明系统进行全面维护和升级。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F9A7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575D01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3BE2FF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115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305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42E9D5CE">
      <w:pPr>
        <w:textAlignment w:val="center"/>
        <w:rPr>
          <w:rFonts w:ascii="宋体" w:hAnsi="宋体" w:eastAsia="宋体" w:cs="宋体"/>
          <w:b/>
          <w:sz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br w:type="page"/>
      </w:r>
    </w:p>
    <w:p w14:paraId="1FBC1435">
      <w:pPr>
        <w:spacing w:before="156" w:beforeLines="50" w:after="156" w:afterLines="50"/>
        <w:rPr>
          <w:rFonts w:ascii="黑体" w:hAnsi="黑体" w:eastAsia="黑体" w:cs="黑体"/>
          <w:lang w:eastAsia="zh-CN"/>
        </w:rPr>
      </w:pPr>
      <w:bookmarkStart w:id="73" w:name="_Toc9427"/>
      <w:r>
        <w:rPr>
          <w:rFonts w:hint="eastAsia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eastAsia="zh-CN"/>
        </w:rPr>
        <w:t>B.7  安全标志检查表</w:t>
      </w:r>
      <w:bookmarkEnd w:id="73"/>
      <w:r>
        <w:rPr>
          <w:rFonts w:hint="eastAsia" w:ascii="黑体" w:hAnsi="黑体" w:eastAsia="黑体" w:cs="黑体"/>
          <w:lang w:eastAsia="zh-CN"/>
        </w:rPr>
        <w:t>（含目视化管理检查）</w:t>
      </w:r>
    </w:p>
    <w:p w14:paraId="020A26E1">
      <w:pPr>
        <w:pStyle w:val="17"/>
        <w:ind w:left="0" w:leftChars="0" w:firstLine="0"/>
        <w:jc w:val="center"/>
        <w:rPr>
          <w:rFonts w:hint="eastAsia"/>
          <w:lang w:eastAsia="zh-CN"/>
        </w:rPr>
      </w:pPr>
      <w:r>
        <w:rPr>
          <w:rFonts w:hint="eastAsia" w:ascii="Arial" w:hAnsi="Arial" w:eastAsia="宋体" w:cs="Arial"/>
          <w:lang w:eastAsia="zh-CN"/>
        </w:rPr>
        <w:t>检查人：                    被检查负责人：                    检查时间：</w:t>
      </w:r>
    </w:p>
    <w:tbl>
      <w:tblPr>
        <w:tblStyle w:val="1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4090"/>
        <w:gridCol w:w="4110"/>
        <w:gridCol w:w="2050"/>
        <w:gridCol w:w="790"/>
        <w:gridCol w:w="790"/>
      </w:tblGrid>
      <w:tr w14:paraId="6D49C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D64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检查项目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195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检查要求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659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检查方法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F64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检查频次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ACC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检查结果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911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 w:bidi="ar"/>
              </w:rPr>
            </w:pPr>
            <w:r>
              <w:rPr>
                <w:rFonts w:asciiTheme="minorEastAsia" w:hAnsiTheme="minorEastAsia" w:eastAsiaTheme="minorEastAsia" w:cstheme="minorEastAsia"/>
                <w:b/>
                <w:lang w:eastAsia="zh-CN" w:bidi="ar"/>
              </w:rPr>
              <w:t>整改</w:t>
            </w:r>
            <w:r>
              <w:rPr>
                <w:rFonts w:hint="eastAsia" w:asciiTheme="minorEastAsia" w:hAnsiTheme="minorEastAsia" w:eastAsiaTheme="minorEastAsia" w:cstheme="minorEastAsia"/>
                <w:b/>
                <w:lang w:eastAsia="zh-CN" w:bidi="ar"/>
              </w:rPr>
              <w:t>建议</w:t>
            </w:r>
          </w:p>
        </w:tc>
      </w:tr>
      <w:tr w14:paraId="7F339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56A7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进厂须知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994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1.进厂须知标识清晰、醒目，且文字表述简洁易懂，无歧义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080BA2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2.标识安装在厂区入口显著位置，确保所有人员进入前能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清晰地看到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，安装高度适宜，视角无遮挡。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C31F">
            <w:pPr>
              <w:numPr>
                <w:ilvl w:val="0"/>
                <w:numId w:val="12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3DF2A0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DB01B0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巡查厂区入口，查看标识是否有污渍、损坏导致内容模糊不清，安装位置是否被遮挡。</w:t>
            </w:r>
          </w:p>
          <w:p w14:paraId="730F9AA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272EEA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全面检查标识内容的完整性、准确性，可随机询问进厂人员是否能清晰获取关键信息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0464E0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检查安装的牢固程度，是否有松动迹象。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794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F66335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CF8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59B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E7E2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5B1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风险分级管控图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305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1.风险分级管控图清晰展示厂区各区域风险等级，颜色标注符合标准，不同风险区域的边界划分明确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99C8A5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2.管控图安装在厂区显著位置，便于员工查看，安装位置应考虑人流密集度和可视性。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3AC2">
            <w:pPr>
              <w:numPr>
                <w:ilvl w:val="0"/>
                <w:numId w:val="12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B131A2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8BF09E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观察管控图是否有褪色、破损，颜色区分是否依然明显。</w:t>
            </w:r>
          </w:p>
          <w:p w14:paraId="06200D5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E14D0C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对照风险分级标准，核对管控图内容是否准确更新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A0B5BF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检查安装位置是否合理，是否有新的障碍物影响员工查看。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4A9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A7F1A5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85E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D3E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34C3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6C2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区域风险告知牌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576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1.各区域风险告知牌内容完整，明确标注区域危险性质，语言表述通俗易懂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E38942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2.告知牌安装在区域入口显著位置，确保人员进入前能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清晰地看到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，安装高度适宜。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A669">
            <w:pPr>
              <w:numPr>
                <w:ilvl w:val="0"/>
                <w:numId w:val="12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400E6A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CA3C24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巡检各区域入口，查看告知牌是否完好，内容是否清晰可读。</w:t>
            </w:r>
          </w:p>
          <w:p w14:paraId="15B9E96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1E006F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详细检查告知牌内容是否根据实际情况更新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2971E8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检查安装位置是否合理，是否有被遮挡或损坏的情况。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1BE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7E24DD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CB6C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59F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47D6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D13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危险区域标识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2E9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1.危险区域应按规范设置警示标识，明确标明区域危险性质，标识内容应符合相关安全标准和法规要求；</w:t>
            </w:r>
          </w:p>
          <w:p w14:paraId="564A9B7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2.警示标识规格与危险区域规模和潜在危险程度相适配，确保在一定距离外清晰可辨，一般大型危险区域的标识尺寸应更大、更醒目；</w:t>
            </w:r>
          </w:p>
          <w:p w14:paraId="504CF6E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3.隔离设施完好无损，围栏高度应符合安全要求，警戒线应清晰、无破损。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4C16">
            <w:pPr>
              <w:numPr>
                <w:ilvl w:val="0"/>
                <w:numId w:val="12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47D87A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B82516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巡查危险区域，查看警示标识是否清晰、完整，隔离设施是否有损坏、缺失。</w:t>
            </w:r>
          </w:p>
          <w:p w14:paraId="58A1B8EC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42B4D5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检查警示标识的规格、颜色、内容是否符合标准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BCFE68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检查隔离设施的牢固程度，可进行简单的摇晃测试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</w:p>
          <w:p w14:paraId="4A038BC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0CA0A33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对危险区域标识和隔离设施进行评估，根据实际情况调整标识和设施。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E0B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071110B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D4D51F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6DD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024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E831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4AC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管道标识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A6C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1.管道应设置清晰、准确的标识，标明介质名称、流向、压力等级等信息，标识内容应清晰易读；</w:t>
            </w:r>
          </w:p>
          <w:p w14:paraId="26F732C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2.采用耐振动、耐磨损材料制作，确保清晰可见，固定方式牢固可靠；</w:t>
            </w:r>
          </w:p>
          <w:p w14:paraId="6699345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3.危险介质管道标识颜色符合标准，并设置明显安全警示标识，警示标识突出危险特性。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46F8">
            <w:pPr>
              <w:numPr>
                <w:ilvl w:val="0"/>
                <w:numId w:val="12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8E75A5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A0B728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沿管道走向检查标识是否有脱落、模糊，内容是否清晰。</w:t>
            </w:r>
          </w:p>
          <w:p w14:paraId="2B6A472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1.检查标识设置情况，查看是否齐全、清晰，标识材质和固定方式是否牢固；</w:t>
            </w:r>
          </w:p>
          <w:p w14:paraId="1E1B782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2.核对危险介质管道标识颜色，检查安全警示标识设置情况。</w:t>
            </w:r>
          </w:p>
          <w:p w14:paraId="41084D8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38F9BA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对管道标识进行全面维护和更新，确保标识的有效性。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444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E0BCB3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5A5112D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87D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C79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D496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139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设备标识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812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1.设备应设置标识牌，标明名称、型号、规格、操作注意事项、维护周期等信息，标识牌内容应完整、准确，操作注意事项应详细、易懂；</w:t>
            </w:r>
          </w:p>
          <w:p w14:paraId="353699D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2.标识牌固定在设备明显位置，固定方式应牢固，不易脱落，且不影响设备的正常操作和维护；</w:t>
            </w:r>
          </w:p>
          <w:p w14:paraId="3ED079F8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3.关键设备和危险设备设置明显安全警示标识，警示标识突出设备危险特性；</w:t>
            </w:r>
          </w:p>
          <w:p w14:paraId="78473A21">
            <w:pPr>
              <w:textAlignment w:val="center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4.特种设备需检查使用登记证是否完好。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51B0">
            <w:pPr>
              <w:numPr>
                <w:ilvl w:val="0"/>
                <w:numId w:val="12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81042D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2F493AD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查看设备标识牌是否完好，内容是否清晰可读。</w:t>
            </w:r>
          </w:p>
          <w:p w14:paraId="5E1F60D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65ADD17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1.检查设备标识牌设置情况，检查是否齐全、清晰。标识牌固定情况，是否有松动；</w:t>
            </w:r>
          </w:p>
          <w:p w14:paraId="3378D9C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2.确认关键和危险设备安全警示标识设置及警示效果，可询问操作人员是否了解警示内容。</w:t>
            </w:r>
          </w:p>
          <w:p w14:paraId="60FB55D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0D19CE7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对设备标识牌进行全面更新和维护，确保信息准确。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201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0054BD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60E030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0E1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055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3700A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740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低温设备标识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444BA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 采用耐低温材料制作；</w:t>
            </w:r>
          </w:p>
          <w:p w14:paraId="2C38C48E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 增设“低温冻伤急救箱”指示标识（间距≤50m）。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4F3F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现场核查 + 材质检测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47B8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F13B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A0B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40A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1CE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消防设施标识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FBC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1.消防设施应设置明显标识，标明名称、使用方法、维护要求等信息，标识内容应清晰、准确，使用方法应图文并茂，便于理解；</w:t>
            </w:r>
          </w:p>
          <w:p w14:paraId="672CE81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2.标识采用反光材料制作，确保光线不足时清晰可见，反光效果应符合相关标准；</w:t>
            </w:r>
          </w:p>
          <w:p w14:paraId="1B4842A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3.消防通道、器材存放点设置明显指示标识，指示标识应醒目，箭头指向应准确无误。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ED7F">
            <w:pPr>
              <w:numPr>
                <w:ilvl w:val="0"/>
                <w:numId w:val="12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7D29B2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26F630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检查消防设施标识是否有损坏、污渍，内容是否清晰。</w:t>
            </w:r>
          </w:p>
          <w:p w14:paraId="335FCF4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7696AC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1.检查消防设施标识设置情况，查看是否齐全、清晰；</w:t>
            </w:r>
          </w:p>
          <w:p w14:paraId="7D7643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2.检查标识是否为反光材料，可在光线较暗时观察反光效果。确认消防通道、器材存放点指示标识是否清晰醒目。</w:t>
            </w:r>
          </w:p>
          <w:p w14:paraId="1C8F502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1CE1D8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对消防设施标识进行全面检查和维护，确保标识有效。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85E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5529F38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F284DA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467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FBB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ECD9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5DE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应急疏散标识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3AC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1.应急疏散通道、安全出口应设置明显指示标识，标识符合安全标准颜色，箭头指向疏散方向，标识颜色应鲜艳、醒目；</w:t>
            </w:r>
          </w:p>
          <w:p w14:paraId="3762693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2.标识安装在通道两侧、墙面、地面等位置，间距符合标准，安装高度应便于人员在疏散时观察；</w:t>
            </w:r>
          </w:p>
          <w:p w14:paraId="322D598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3.应急照明与标识配合使用，确保紧急情况下清晰可见，应急照明亮度应符合安全要求，可在模拟停电情况下检查照明与标识的配合效果。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A084">
            <w:pPr>
              <w:numPr>
                <w:ilvl w:val="0"/>
                <w:numId w:val="12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522D30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6E917C6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应急疏散标识是否有损坏、被遮挡，颜色是否鲜艳。</w:t>
            </w:r>
          </w:p>
          <w:p w14:paraId="0C49845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AF6E1D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检查应急疏散标识设置情况，查看是否齐全、清晰；</w:t>
            </w:r>
          </w:p>
          <w:p w14:paraId="291F53F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测量标识安装间距，是否符合标准。</w:t>
            </w:r>
          </w:p>
          <w:p w14:paraId="07C342D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8CA5E5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对应急疏散标识和应急照明系统进行全面维护和测试，确保疏散引导功能正常。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D72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B7566D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2F0C210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9FD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403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587DA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BA6F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风向标标识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AC2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1.液化天然气工厂内应设置明显且数量足够的风向标，安装在厂区较高、开阔、无遮挡地带，确保厂区各区域都能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清晰地看到；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2.风向标应能准确指示风向，材质坚固耐用，具备抗风、抗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振动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性能，能在恶劣天气正常工作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3.定期维护和检查风向标，确保转动灵活，标识清晰，颜色鲜明，便于识别。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6AF3">
            <w:pPr>
              <w:numPr>
                <w:ilvl w:val="0"/>
                <w:numId w:val="12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2DB92CDA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162DF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观察风向标是否能正常转动，标识是否清晰。</w:t>
            </w:r>
          </w:p>
          <w:p w14:paraId="3788362A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306574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1.检查风向标设置位置和数量，是否满足可视需求；</w:t>
            </w:r>
          </w:p>
          <w:p w14:paraId="229E2D2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2.观察风向标转动情况，是否灵活；</w:t>
            </w:r>
          </w:p>
          <w:p w14:paraId="48BD664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3.检查材质有无损坏；</w:t>
            </w:r>
          </w:p>
          <w:p w14:paraId="5260FD8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4.查看颜色和清晰度，确保不同天气和光线条件下可辨。</w:t>
            </w:r>
          </w:p>
          <w:p w14:paraId="1764E28B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42C5AC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对风向标进行全面维护和校准，确保指示准确。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CD8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66F0BA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25A53FA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B40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0F6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1FA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6BD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个体防护装备标识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071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1.工厂内个体防护装备存放点应设置明显标识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2.标识清晰、醒目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3.特殊防护装备标识上注明维护保养要求和检查周期。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77AE">
            <w:pPr>
              <w:numPr>
                <w:ilvl w:val="0"/>
                <w:numId w:val="12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DE57A9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7DD4A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查看个体防护装备存放点标识是否有损坏、模糊。</w:t>
            </w:r>
          </w:p>
          <w:p w14:paraId="6DFA933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38421D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1.检查个体防护装备存放点标识设置情况，查看是否齐全、清晰；</w:t>
            </w:r>
          </w:p>
          <w:p w14:paraId="0D42118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2.确认标识是否图文并茂，图形是否符合标准；</w:t>
            </w:r>
          </w:p>
          <w:p w14:paraId="53C596E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3.检查特殊防护装备标识维护保养和检查周期信息是否明确。</w:t>
            </w:r>
          </w:p>
          <w:p w14:paraId="05DD7EB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1B7EED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对个体防护装备标识进行全面更新和维护，确保信息准确。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876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17BDEA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E1A93E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A52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435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2620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2EA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操作注意事项与应急措施标识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9C77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操作注意事项应详细说明设备操作步骤、安全要点及禁止行为；应急措施标识应明确应急响应流程、联系方式及关键操作步骤；</w:t>
            </w:r>
          </w:p>
          <w:p w14:paraId="714202D3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文字、图标清晰可见，无污损或遮挡。标识颜色符合国家标准；</w:t>
            </w:r>
          </w:p>
          <w:p w14:paraId="74112B57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应设置在设备或区域入口显著位置，避免视觉盲区；</w:t>
            </w:r>
          </w:p>
          <w:p w14:paraId="14D8422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材质应耐腐蚀、耐高温、耐低温，适应工厂的特殊环境。标识固定牢固。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747F">
            <w:pPr>
              <w:numPr>
                <w:ilvl w:val="0"/>
                <w:numId w:val="13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5ED4A214"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425B0D3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对重点区域和关键设备的操作注意事项与应急措施标识进行巡查。</w:t>
            </w:r>
          </w:p>
          <w:p w14:paraId="33B58ACC"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2DDE08BC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对所有操作注意事项与应急措施标识进行全面检查，内容准确、安装规范、操作人员熟悉。</w:t>
            </w:r>
          </w:p>
          <w:p w14:paraId="502A0F89">
            <w:pPr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7B84B9F">
            <w:pPr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在设备设施更新改造后、应急方案修订后或特定季节，进行针对性专项检查。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824E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34FE03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6F471C00"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665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BE07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428FC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880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车辆通行及危险区域标识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900B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1.厂区内道路应设置清晰的车辆通行标识，包括限速标识、行车路线标识、停车区域标识等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2.标识符合交通法规和工厂安全规定，颜色、形状和尺寸符合标准，确保驾驶员清晰识别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3.进入危险区域的车辆，设置专门警示标识，提醒驾驶员注意安全，遵守相关规定。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4DC1">
            <w:pPr>
              <w:numPr>
                <w:ilvl w:val="0"/>
                <w:numId w:val="130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78367C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5142263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沿厂区道路检查车辆通行标识是否有损坏、被遮挡，内容是否清晰。</w:t>
            </w:r>
          </w:p>
          <w:p w14:paraId="69580C6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DAB832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1.检查车辆通行标识设置情况，查看是否齐全、清晰。核对标识颜色、形状和尺寸是否符合标准；</w:t>
            </w:r>
          </w:p>
          <w:p w14:paraId="54CEEC1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2.检查进入危险区域车辆警示标识设置及警示效果，可询问驾驶员是否注意到警示标识。</w:t>
            </w:r>
          </w:p>
          <w:p w14:paraId="69D6AD4A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3C698AB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对车辆通行及危险区域标识进行全面检查和维护，确保标识有效。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4FA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A199B7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7CEBD73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AD0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CCE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D2EC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A42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检修作业标识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90C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1.设备检修、管道维护等作业区域应设置明显警示标识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和警戒区域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，防止无关人员误操作或进入危险区域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2.检修作业标识采用坚固耐用材料制作，设置在作业区域显著位置，确保作业期间始终清晰可见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br w:type="textWrapping"/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3.涉及高处作业、动火作业等特殊检修作业，根据作业类型设置相应专项警示标识。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95F4">
            <w:pPr>
              <w:numPr>
                <w:ilvl w:val="0"/>
                <w:numId w:val="131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1F7690A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82AAAE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检查检修作业区域警示标识是否有损坏、缺失，内容是否清晰。</w:t>
            </w:r>
          </w:p>
          <w:p w14:paraId="0B566010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2A94DF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1.检查检修作业区域警示标识设置情况，查看是否齐全、清晰；</w:t>
            </w:r>
          </w:p>
          <w:p w14:paraId="4017D8E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2.确认标识材质和设置位置是否合理，是否能有效警示人员；</w:t>
            </w:r>
          </w:p>
          <w:p w14:paraId="71B4040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3.检查特殊检修作业专项警示标识设置及警示效果，可询问现场人员是否了解警示内容。</w:t>
            </w:r>
          </w:p>
          <w:p w14:paraId="744D0EB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5B8BD4F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对检修作业标识进行全面检查和维护，确保标识有效。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454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255B92C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36A7CDA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C30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41E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63D0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D79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装卸区标识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D85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1.LNG装卸区应设置明显的警示标识，标明“易燃易爆”“禁止烟火”等，标识内容应醒目、突出危险特性，采用反光材料制作，提高可见性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932008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2.装卸区设置操作流程标识和应急措施标识，操作流程应清晰、易懂，应急措施应具有可操作性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C42A49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3.装卸区周边设置隔离设施和车辆限速标识，隔离设施应坚固，车辆限速标识应醒目，限速值应合理。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A34F">
            <w:pPr>
              <w:numPr>
                <w:ilvl w:val="0"/>
                <w:numId w:val="132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0B1AA7E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41FD46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检查装卸区警示标识是否有损坏、被遮挡，隔离设施是否完好。</w:t>
            </w:r>
          </w:p>
          <w:p w14:paraId="5454FB5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F022B7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1.查看装卸区警示标识是否齐全、清晰。</w:t>
            </w:r>
          </w:p>
          <w:p w14:paraId="3EF4324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检查操作流程和应急措施标识，内容是否准确、完整；</w:t>
            </w:r>
          </w:p>
          <w:p w14:paraId="4496B79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2.确认隔离设施和车辆限速标识设置情况，是否符合要求。</w:t>
            </w:r>
          </w:p>
          <w:p w14:paraId="4B54AF1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428AFEC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对装卸区标识进行全面检查和维护，确保标识有效。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E48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69CC143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7BBF51A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017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6861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1A18D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0F6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压缩机房标识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C22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1.压缩机房应设置明显的警示标识，标明“高压危险”“噪音区域”等，标识内容应醒目、突出危险特性，采用高亮度颜色制作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1BB6D3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2.压缩机房设置操作注意事项和应急措施标识，操作注意事项应包括设备启动、停止、维护等方面的注意要点，应急措施应针对高压泄漏、设备故障等情况制定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3F65785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3.压缩机房入口设置防护装备佩戴要求标识，明确进入机房应佩戴的防护装备。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202A">
            <w:pPr>
              <w:numPr>
                <w:ilvl w:val="0"/>
                <w:numId w:val="133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4D9652A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434F3B9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检查压缩机房警示标识是否有损坏、被遮挡，防护装备佩戴要求标识是否清晰。</w:t>
            </w:r>
          </w:p>
          <w:p w14:paraId="4E988FF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754D6AC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1.查看压缩机房警示标识是否齐全、清晰。</w:t>
            </w:r>
          </w:p>
          <w:p w14:paraId="2243E9B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检查操作注意事项和应急措施标识，内容是否完整、准确；</w:t>
            </w:r>
          </w:p>
          <w:p w14:paraId="230211E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2.确认“入口防护装备佩戴要求”标识设置情况，是否符合要求。</w:t>
            </w:r>
          </w:p>
          <w:p w14:paraId="1582E08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7014B4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对压缩机房标识进行全面检查和维护，确保标识有效。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586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A34EA3E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5EC0B79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C3F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C02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EAFB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36B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低温设备标识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AF2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1.低温设备应设置明显的警示标识，标明“低温危险”“注意冻伤”等，标识内容应醒目、准确，采用耐低温材料制作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DED482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2.低温设备设置操作注意事项和应急措施标识，操作注意事项应详细说明低温环境下的操作要点，应急措施应针对可能出现的冻伤、泄漏等情况制定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4A9D01F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3.低温设备周边设置隔离设施，隔离设施应符合安全标准，防止人员误触低温设备。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2F2D">
            <w:pPr>
              <w:numPr>
                <w:ilvl w:val="0"/>
                <w:numId w:val="134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265E1C9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374C26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检查低温设备警示标识是否有损坏、褪色，隔离设施是否完好。</w:t>
            </w:r>
          </w:p>
          <w:p w14:paraId="01802D1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349D2F9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1.查看低温设备警示标识是否齐全、清晰；</w:t>
            </w:r>
          </w:p>
          <w:p w14:paraId="2014A86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2.检查操作注意事项和应急措施标识，内容是否完整、准确；</w:t>
            </w:r>
          </w:p>
          <w:p w14:paraId="075AF4D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3.确认隔离设施设置情况，是否符合要求。</w:t>
            </w:r>
          </w:p>
          <w:p w14:paraId="03908546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1C17B1F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对低温设备标识进行全面检查和维护，确保标识有效。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958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4089F3D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66CD2DF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367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274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7C75F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B4A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紧急切断装置标识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6B84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1.紧急切断装置应设置明显的操作标识，标明“紧急情况下使用”，标识内容应醒目、突出操作特性，采用反光材料制作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13AB4CE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2.紧急切断装置周边设置操作流程和注意事项标识，操作流程应清晰、易懂，注意事项应明确操作时的安全要点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2CE3542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3.紧急切断装置标识采用反光材料，确保光线不足时清晰可见，反光效果应符合相关标准。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321A">
            <w:pPr>
              <w:numPr>
                <w:ilvl w:val="0"/>
                <w:numId w:val="135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522731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1B7420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检查紧急切断装置标识是否有损坏、被遮挡，内容是否清晰。</w:t>
            </w:r>
          </w:p>
          <w:p w14:paraId="5C9C2D5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7FE77C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1.查看紧急切断装置标识是否齐全、清晰；</w:t>
            </w:r>
          </w:p>
          <w:p w14:paraId="405EDD5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2.检查操作流程和注意事项标识，内容是否完整、准确；</w:t>
            </w:r>
          </w:p>
          <w:p w14:paraId="774E8C9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3.确认标识是否为反光材料，可在光线较暗时观察反光效果。</w:t>
            </w:r>
          </w:p>
          <w:p w14:paraId="07A56451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6F42879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对紧急切断装置标识进行全面检查和维护，确保标识有效。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936C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356D6DF5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03CE5BC7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28E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582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685C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6F7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静电防护标识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925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静电危险区域应设置明显的静电防护标识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828B58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2.静电防护标识采用耐磨损材料制作，确保清晰可见，标识材料应能抵御日常的风吹日晒、机械摩擦等，固定方式应牢固可靠。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2828">
            <w:pPr>
              <w:numPr>
                <w:ilvl w:val="0"/>
                <w:numId w:val="136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349E28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79DE14E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1.巡查静电危险区域，查看标识是否有磨损、变形、缺失等情况，内容是否清晰可辨；</w:t>
            </w:r>
          </w:p>
          <w:p w14:paraId="58C655C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2.检查标识的固定位置是否合理，有无被遮挡或损坏。</w:t>
            </w:r>
          </w:p>
          <w:p w14:paraId="0E3CCC9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43E60D8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检查标识材质是否有老化、破损迹象，固定方式是否牢固。</w:t>
            </w:r>
          </w:p>
          <w:p w14:paraId="02BD0FA3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28AAADC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对静电防护标识进行全面检查和维护，根据区域内设备更新、工艺流程变化等情况，对标识内容和设置位置进行优化调整。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3B5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B9659B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165D370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8A70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024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6B4C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165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受限空间标识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999E6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1.设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置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醒目警示标识，标“受限空间”“禁止单独进入”等，字体大、颜色醒目，在入口及周边清晰可见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7B3E613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2.入口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设置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操作注意事项与应急措施标识。前者详述进前准备与进入后规范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后者明确紧急情况应对，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具有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可操作性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6FC7EA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3.采用耐磨损、防水、防腐、防撞击材料制作，固定牢固，适应复杂环境，确保标识稳定、清晰。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8D5B">
            <w:pPr>
              <w:numPr>
                <w:ilvl w:val="0"/>
                <w:numId w:val="137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6938925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0924EED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查看入口警示标识是否完好、被覆盖。操作与应急标识内容是否清晰。</w:t>
            </w:r>
          </w:p>
          <w:p w14:paraId="1F0CE9A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1AF2F03B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1.检查标识材质与固定方式能否满足要求；</w:t>
            </w:r>
          </w:p>
          <w:p w14:paraId="071C86F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2.操作与应急标识内容是否依据实际更新。</w:t>
            </w:r>
          </w:p>
          <w:p w14:paraId="03CCFB88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591A3AF1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依据使用频率、内部环境变化，全面评估，维护或更换标识。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434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E571AAD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38900301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D58A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358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2CC9F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F8A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动火作业标识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265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1.设明显警示标识，标“动火作业”“严禁烟火”等，颜色鲜艳、字体大，在作业区周边远距离清晰可辨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6766B789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设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置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操作注意事项与应急措施标识。前者说明作业前准备与作业规范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后者针对火灾、爆炸，制定灭火、疏散等应对方案，简洁易懂、易执行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9E1B99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3.采用耐高温材料，能承受高温不褪色、不变形、不损坏，固定牢固，防止高温脱落。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D7B4">
            <w:pPr>
              <w:numPr>
                <w:ilvl w:val="0"/>
                <w:numId w:val="138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3334599D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3BAA417C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查看警示标识是否完好、移位。操作与应急标识内容是否清晰、被遮挡。</w:t>
            </w:r>
          </w:p>
          <w:p w14:paraId="53F92292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0A84AF97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检查标识材质耐高温性与固定牢固性。操作与应急标识内容是否随设备、环境变化更新，询问作业人员对标识熟悉度。</w:t>
            </w:r>
          </w:p>
          <w:p w14:paraId="3D1CDDE7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3B093F42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根据作业频率、环境变化，全面检查维护，优化调整标识。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8EBF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792D7AF4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8972E6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2203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21084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  <w:tr w14:paraId="0BA30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EF36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高处作业标识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827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1.设醒目警示标识，标“高处作业”“注意坠落”等，字体大、颜色醒目，在作业区周边及下方清晰可见，可加坠落人形等警示图案强化效果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5326C17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.设置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操作注意事项与应急措施标识。前者说明作业前准备与作业规范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。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后者针对坠落、物体打击等制定急救、救援联系方式等应对方案，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具有</w:t>
            </w:r>
            <w:r>
              <w:rPr>
                <w:rFonts w:asciiTheme="minorEastAsia" w:hAnsiTheme="minorEastAsia" w:eastAsiaTheme="minorEastAsia" w:cstheme="minorEastAsia"/>
                <w:lang w:eastAsia="zh-CN"/>
              </w:rPr>
              <w:t>可操作性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；</w:t>
            </w:r>
          </w:p>
          <w:p w14:paraId="07D8613E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asciiTheme="minorEastAsia" w:hAnsiTheme="minorEastAsia" w:eastAsiaTheme="minorEastAsia" w:cstheme="minorEastAsia"/>
                <w:lang w:eastAsia="zh-CN"/>
              </w:rPr>
              <w:t>3.采用耐磨损材料，具备良好耐久性，固定牢固，防风吹、日晒、雨淋导致脱落移位。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CAF9">
            <w:pPr>
              <w:numPr>
                <w:ilvl w:val="0"/>
                <w:numId w:val="139"/>
              </w:numPr>
              <w:ind w:left="420" w:hanging="420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现场检查：</w:t>
            </w:r>
          </w:p>
          <w:p w14:paraId="6036462F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日常检查：</w:t>
            </w:r>
          </w:p>
          <w:p w14:paraId="1F328228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查看警示标识是否完好、被覆盖。操作与应急标识内容是否清晰。</w:t>
            </w:r>
          </w:p>
          <w:p w14:paraId="2EC99C14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综合性检查：</w:t>
            </w:r>
          </w:p>
          <w:p w14:paraId="509DDDC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1.检查标识材质与固定方式能否满足要求；</w:t>
            </w:r>
          </w:p>
          <w:p w14:paraId="56A7726D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2.操作与应急标识内容是否依登高设备、防护措施变化更新，询问作业人员对标识熟悉度。</w:t>
            </w:r>
          </w:p>
          <w:p w14:paraId="6FDD335E">
            <w:pPr>
              <w:textAlignment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专项检查：</w:t>
            </w:r>
          </w:p>
          <w:p w14:paraId="646AF9B0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依据作业频率、环境变化，全面评估，维护或更换标识。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D9A2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日常检查</w:t>
            </w:r>
          </w:p>
          <w:p w14:paraId="13CC7A8B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综合性检查</w:t>
            </w:r>
          </w:p>
          <w:p w14:paraId="4BAC1008">
            <w:pPr>
              <w:jc w:val="center"/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专项检查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1BFF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221D5">
            <w:pPr>
              <w:textAlignment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</w:p>
        </w:tc>
      </w:tr>
    </w:tbl>
    <w:p w14:paraId="3AEF5037">
      <w:pPr>
        <w:spacing w:before="156" w:beforeLines="50" w:after="156" w:afterLines="50"/>
        <w:ind w:firstLine="3570" w:firstLineChars="1700"/>
        <w:rPr>
          <w:lang w:eastAsia="zh-CN"/>
        </w:rPr>
      </w:pPr>
      <w:r>
        <w:rPr>
          <w:lang w:eastAsia="zh-CN"/>
        </w:rPr>
        <w:br w:type="page"/>
      </w:r>
    </w:p>
    <w:p w14:paraId="09E515C4">
      <w:pPr>
        <w:spacing w:before="156" w:beforeLines="50" w:after="156" w:afterLines="50"/>
        <w:rPr>
          <w:rFonts w:asciiTheme="minorEastAsia" w:hAnsiTheme="minorEastAsia" w:eastAsiaTheme="minorEastAsia" w:cstheme="minorEastAsia"/>
          <w:lang w:eastAsia="zh-CN"/>
        </w:rPr>
      </w:pPr>
      <w:bookmarkStart w:id="74" w:name="_Toc9451"/>
      <w:r>
        <w:rPr>
          <w:rFonts w:ascii="黑体" w:hAnsi="黑体" w:eastAsia="黑体" w:cs="黑体"/>
          <w:lang w:eastAsia="zh-CN"/>
        </w:rPr>
        <w:t>C</w:t>
      </w:r>
      <w:r>
        <w:rPr>
          <w:rFonts w:hint="eastAsia" w:ascii="黑体" w:hAnsi="黑体" w:eastAsia="黑体" w:cs="黑体"/>
          <w:lang w:eastAsia="zh-CN"/>
        </w:rPr>
        <w:t xml:space="preserve">  </w:t>
      </w:r>
      <w:bookmarkEnd w:id="74"/>
      <w:r>
        <w:rPr>
          <w:rFonts w:hint="eastAsia" w:ascii="黑体" w:hAnsi="黑体" w:eastAsia="黑体" w:cs="黑体"/>
          <w:lang w:eastAsia="zh-CN"/>
        </w:rPr>
        <w:t>隐患整改通知单：</w:t>
      </w:r>
    </w:p>
    <w:p w14:paraId="3480B421">
      <w:pPr>
        <w:jc w:val="center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天然气液化工厂安全检查</w:t>
      </w:r>
    </w:p>
    <w:p w14:paraId="488B2B1B">
      <w:pPr>
        <w:spacing w:after="156" w:afterLines="50"/>
        <w:jc w:val="center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隐患整改通知单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2780"/>
        <w:gridCol w:w="2780"/>
        <w:gridCol w:w="2780"/>
        <w:gridCol w:w="2780"/>
      </w:tblGrid>
      <w:tr w14:paraId="574F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779" w:type="dxa"/>
            <w:vMerge w:val="restart"/>
            <w:vAlign w:val="center"/>
          </w:tcPr>
          <w:p w14:paraId="1E0191D6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基本信息</w:t>
            </w:r>
          </w:p>
        </w:tc>
        <w:tc>
          <w:tcPr>
            <w:tcW w:w="2780" w:type="dxa"/>
            <w:vAlign w:val="center"/>
          </w:tcPr>
          <w:p w14:paraId="3D448F37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时间</w:t>
            </w:r>
          </w:p>
        </w:tc>
        <w:tc>
          <w:tcPr>
            <w:tcW w:w="2780" w:type="dxa"/>
            <w:vAlign w:val="center"/>
          </w:tcPr>
          <w:p w14:paraId="0A370DF8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780" w:type="dxa"/>
            <w:vAlign w:val="center"/>
          </w:tcPr>
          <w:p w14:paraId="7D1FA687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地点</w:t>
            </w:r>
          </w:p>
        </w:tc>
        <w:tc>
          <w:tcPr>
            <w:tcW w:w="2780" w:type="dxa"/>
            <w:vAlign w:val="center"/>
          </w:tcPr>
          <w:p w14:paraId="4244752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0EFE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779" w:type="dxa"/>
            <w:vMerge w:val="continue"/>
            <w:vAlign w:val="center"/>
          </w:tcPr>
          <w:p w14:paraId="2644D783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780" w:type="dxa"/>
            <w:vAlign w:val="center"/>
          </w:tcPr>
          <w:p w14:paraId="3A0C9561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检查依据</w:t>
            </w:r>
          </w:p>
        </w:tc>
        <w:tc>
          <w:tcPr>
            <w:tcW w:w="8340" w:type="dxa"/>
            <w:gridSpan w:val="3"/>
            <w:vAlign w:val="center"/>
          </w:tcPr>
          <w:p w14:paraId="0FCB8D72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T/SLIA 001—2025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 xml:space="preserve">  天然气液化工厂安全检查导则</w:t>
            </w:r>
          </w:p>
        </w:tc>
      </w:tr>
      <w:tr w14:paraId="580B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779" w:type="dxa"/>
            <w:vMerge w:val="continue"/>
            <w:vAlign w:val="center"/>
          </w:tcPr>
          <w:p w14:paraId="446FB8E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780" w:type="dxa"/>
            <w:vAlign w:val="center"/>
          </w:tcPr>
          <w:p w14:paraId="0D159957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检查人</w:t>
            </w:r>
          </w:p>
        </w:tc>
        <w:tc>
          <w:tcPr>
            <w:tcW w:w="2780" w:type="dxa"/>
            <w:vAlign w:val="center"/>
          </w:tcPr>
          <w:p w14:paraId="10A85827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780" w:type="dxa"/>
            <w:vAlign w:val="center"/>
          </w:tcPr>
          <w:p w14:paraId="254A96D4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被检查负责人</w:t>
            </w:r>
          </w:p>
        </w:tc>
        <w:tc>
          <w:tcPr>
            <w:tcW w:w="2780" w:type="dxa"/>
            <w:vAlign w:val="center"/>
          </w:tcPr>
          <w:p w14:paraId="3989018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</w:tbl>
    <w:p w14:paraId="50C9E9BB"/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316"/>
        <w:gridCol w:w="2262"/>
        <w:gridCol w:w="1118"/>
        <w:gridCol w:w="2242"/>
        <w:gridCol w:w="905"/>
        <w:gridCol w:w="947"/>
        <w:gridCol w:w="2151"/>
        <w:gridCol w:w="1045"/>
        <w:gridCol w:w="762"/>
      </w:tblGrid>
      <w:tr w14:paraId="6C17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87" w:type="dxa"/>
            <w:vAlign w:val="center"/>
          </w:tcPr>
          <w:p w14:paraId="6D1889DE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检查表</w:t>
            </w:r>
          </w:p>
        </w:tc>
        <w:tc>
          <w:tcPr>
            <w:tcW w:w="1316" w:type="dxa"/>
            <w:vAlign w:val="center"/>
          </w:tcPr>
          <w:p w14:paraId="616DE8CE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检查项目</w:t>
            </w:r>
          </w:p>
        </w:tc>
        <w:tc>
          <w:tcPr>
            <w:tcW w:w="2262" w:type="dxa"/>
            <w:vAlign w:val="center"/>
          </w:tcPr>
          <w:p w14:paraId="50891B0D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隐患内容</w:t>
            </w:r>
          </w:p>
        </w:tc>
        <w:tc>
          <w:tcPr>
            <w:tcW w:w="1118" w:type="dxa"/>
            <w:vAlign w:val="center"/>
          </w:tcPr>
          <w:p w14:paraId="36DF90FF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隐患类别及等级</w:t>
            </w:r>
          </w:p>
        </w:tc>
        <w:tc>
          <w:tcPr>
            <w:tcW w:w="2242" w:type="dxa"/>
            <w:vAlign w:val="center"/>
          </w:tcPr>
          <w:p w14:paraId="39CA6738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整改要求</w:t>
            </w:r>
          </w:p>
        </w:tc>
        <w:tc>
          <w:tcPr>
            <w:tcW w:w="905" w:type="dxa"/>
            <w:vAlign w:val="center"/>
          </w:tcPr>
          <w:p w14:paraId="24E6AE5B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整改</w:t>
            </w:r>
          </w:p>
          <w:p w14:paraId="40BB98D3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期限</w:t>
            </w:r>
          </w:p>
        </w:tc>
        <w:tc>
          <w:tcPr>
            <w:tcW w:w="947" w:type="dxa"/>
            <w:vAlign w:val="center"/>
          </w:tcPr>
          <w:p w14:paraId="77E2A03B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整改</w:t>
            </w:r>
          </w:p>
          <w:p w14:paraId="4C29DF82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责任人</w:t>
            </w:r>
          </w:p>
        </w:tc>
        <w:tc>
          <w:tcPr>
            <w:tcW w:w="2151" w:type="dxa"/>
            <w:vAlign w:val="center"/>
          </w:tcPr>
          <w:p w14:paraId="7D70639A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整改情况记录</w:t>
            </w:r>
          </w:p>
        </w:tc>
        <w:tc>
          <w:tcPr>
            <w:tcW w:w="1045" w:type="dxa"/>
            <w:vAlign w:val="center"/>
          </w:tcPr>
          <w:p w14:paraId="5BAA01EE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验收人</w:t>
            </w:r>
          </w:p>
        </w:tc>
        <w:tc>
          <w:tcPr>
            <w:tcW w:w="762" w:type="dxa"/>
            <w:vAlign w:val="center"/>
          </w:tcPr>
          <w:p w14:paraId="2418F263"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验收时间</w:t>
            </w:r>
          </w:p>
        </w:tc>
      </w:tr>
      <w:tr w14:paraId="376C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87" w:type="dxa"/>
            <w:vAlign w:val="center"/>
          </w:tcPr>
          <w:p w14:paraId="5BDC9A67">
            <w:pPr>
              <w:widowControl/>
              <w:jc w:val="center"/>
              <w:rPr>
                <w:rFonts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A / B.1 / ...</w:t>
            </w:r>
          </w:p>
        </w:tc>
        <w:tc>
          <w:tcPr>
            <w:tcW w:w="1316" w:type="dxa"/>
            <w:vAlign w:val="center"/>
          </w:tcPr>
          <w:p w14:paraId="391C386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0AACE991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268915D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74180C2E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5998458F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41B15AB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4BF2CBB1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3C7D26A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283FECD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C45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87" w:type="dxa"/>
            <w:vAlign w:val="center"/>
          </w:tcPr>
          <w:p w14:paraId="696E4B9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475657F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567A5BF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2F276235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14EF63A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3ECF7DD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391BC8C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79F30137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7A828347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7BF334FF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2A1E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87" w:type="dxa"/>
            <w:vAlign w:val="center"/>
          </w:tcPr>
          <w:p w14:paraId="439EEAC8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42A1D41F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55537E7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7F27162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1989091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392DAE9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289083EB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4B21A1C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6447BC6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2F13EAA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6009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87" w:type="dxa"/>
            <w:vAlign w:val="center"/>
          </w:tcPr>
          <w:p w14:paraId="7934030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5B65DD0B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6DDDC83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70578C7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69B3EBEB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366E95F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4B7C581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7C4CFE2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30BF82D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3E0BA6C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C109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87" w:type="dxa"/>
            <w:vAlign w:val="center"/>
          </w:tcPr>
          <w:p w14:paraId="5CB02B5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6D7C7D1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5BD7507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6E37BEB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6B9CADF3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74CA2F1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0B7DBA9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716CB521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726DB79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7629C8F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3E0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87" w:type="dxa"/>
            <w:vAlign w:val="center"/>
          </w:tcPr>
          <w:p w14:paraId="62D9333F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418FDDA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4736A9AE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17184E88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1A89747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2646213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6B75445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0CCAFBF9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62312E6F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13CF544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5FD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87" w:type="dxa"/>
            <w:vAlign w:val="center"/>
          </w:tcPr>
          <w:p w14:paraId="1A08261B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45AA92AE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3BC9F1E1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4D512851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3D8494A0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224698DE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09632EDB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3D092F7F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246FEDD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7504D8C6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974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87" w:type="dxa"/>
            <w:vAlign w:val="center"/>
          </w:tcPr>
          <w:p w14:paraId="6C7C915E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01E1B87E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4B6F5845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099A262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79B5D9B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506F1D5F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51C6AD23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4DECF99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172F386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09944DAC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557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87" w:type="dxa"/>
            <w:vAlign w:val="center"/>
          </w:tcPr>
          <w:p w14:paraId="21EFAA1D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16" w:type="dxa"/>
            <w:vAlign w:val="center"/>
          </w:tcPr>
          <w:p w14:paraId="025DD475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62" w:type="dxa"/>
            <w:vAlign w:val="center"/>
          </w:tcPr>
          <w:p w14:paraId="64AC4FA3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18" w:type="dxa"/>
            <w:vAlign w:val="center"/>
          </w:tcPr>
          <w:p w14:paraId="417816D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242" w:type="dxa"/>
            <w:vAlign w:val="center"/>
          </w:tcPr>
          <w:p w14:paraId="3710A21A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05" w:type="dxa"/>
            <w:vAlign w:val="center"/>
          </w:tcPr>
          <w:p w14:paraId="1427862E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947" w:type="dxa"/>
            <w:vAlign w:val="center"/>
          </w:tcPr>
          <w:p w14:paraId="4B53582B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151" w:type="dxa"/>
            <w:vAlign w:val="center"/>
          </w:tcPr>
          <w:p w14:paraId="576A5212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045" w:type="dxa"/>
            <w:vAlign w:val="center"/>
          </w:tcPr>
          <w:p w14:paraId="24DB5E53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762" w:type="dxa"/>
            <w:vAlign w:val="center"/>
          </w:tcPr>
          <w:p w14:paraId="0EBE4B34">
            <w:pPr>
              <w:widowControl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</w:tbl>
    <w:p w14:paraId="057DE8FE">
      <w:pPr>
        <w:rPr>
          <w:rFonts w:asciiTheme="minorEastAsia" w:hAnsiTheme="minorEastAsia" w:eastAsiaTheme="minorEastAsia" w:cstheme="minorEastAsia"/>
        </w:rPr>
      </w:pPr>
    </w:p>
    <w:p w14:paraId="4A600801">
      <w:pPr>
        <w:rPr>
          <w:rFonts w:asciiTheme="minorEastAsia" w:hAnsiTheme="minorEastAsia" w:eastAsiaTheme="minorEastAsia" w:cstheme="minorEastAsia"/>
        </w:rPr>
      </w:pPr>
    </w:p>
    <w:p w14:paraId="611FDCE3">
      <w:pPr>
        <w:shd w:val="clear" w:color="auto" w:fill="FFFFFF"/>
        <w:spacing w:line="360" w:lineRule="auto"/>
        <w:ind w:firstLine="420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hd w:val="clear" w:color="auto" w:fill="FFFFFF"/>
          <w:lang w:eastAsia="zh-CN" w:bidi="ar"/>
        </w:rPr>
        <w:t>隐患整改通知单是记录检查过程中发现的问题和隐患，以及跟踪整改情况的重要文件，</w:t>
      </w:r>
      <w:r>
        <w:rPr>
          <w:rFonts w:hint="eastAsia" w:asciiTheme="minorEastAsia" w:hAnsiTheme="minorEastAsia" w:eastAsiaTheme="minorEastAsia" w:cstheme="minorEastAsia"/>
          <w:shd w:val="clear" w:color="auto" w:fill="FFFFFF"/>
          <w:lang w:val="en-US" w:eastAsia="zh-CN" w:bidi="ar"/>
        </w:rPr>
        <w:t>可根据工厂实际情况选用线上平台/线下通知单的方式，</w:t>
      </w:r>
      <w:r>
        <w:rPr>
          <w:rFonts w:hint="eastAsia" w:asciiTheme="minorEastAsia" w:hAnsiTheme="minorEastAsia" w:eastAsiaTheme="minorEastAsia" w:cstheme="minorEastAsia"/>
          <w:shd w:val="clear" w:color="auto" w:fill="FFFFFF"/>
          <w:lang w:eastAsia="zh-CN" w:bidi="ar"/>
        </w:rPr>
        <w:t>内容填写</w:t>
      </w:r>
      <w:r>
        <w:rPr>
          <w:rFonts w:hint="eastAsia" w:asciiTheme="minorEastAsia" w:hAnsiTheme="minorEastAsia" w:eastAsiaTheme="minorEastAsia" w:cstheme="minorEastAsia"/>
          <w:shd w:val="clear" w:color="auto" w:fill="FFFFFF"/>
          <w:lang w:val="en-US" w:eastAsia="zh-CN" w:bidi="ar"/>
        </w:rPr>
        <w:t>应至少包含</w:t>
      </w:r>
      <w:r>
        <w:rPr>
          <w:rFonts w:hint="eastAsia" w:asciiTheme="minorEastAsia" w:hAnsiTheme="minorEastAsia" w:eastAsiaTheme="minorEastAsia" w:cstheme="minorEastAsia"/>
          <w:shd w:val="clear" w:color="auto" w:fill="FFFFFF"/>
          <w:lang w:eastAsia="zh-CN" w:bidi="ar"/>
        </w:rPr>
        <w:t>：</w:t>
      </w:r>
    </w:p>
    <w:p w14:paraId="1E69D818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基本信息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：包括检查时间、地点、检查人员、被检查部门等。</w:t>
      </w:r>
    </w:p>
    <w:p w14:paraId="5D93CC36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隐患</w:t>
      </w: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内容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：详细描述隐患的具体情况，包括表现形式、所在位置、涉及的设备或操作等。</w:t>
      </w:r>
    </w:p>
    <w:p w14:paraId="0A0E1600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隐患</w:t>
      </w: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类别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：注明隐患所属类别，如工艺安全、电气安全、消防安全等。</w:t>
      </w:r>
    </w:p>
    <w:p w14:paraId="596EC46E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eastAsia="zh-CN"/>
        </w:rPr>
        <w:t>隐患</w:t>
      </w: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等级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：依据风险评估结果，确定问题的风险等级。</w:t>
      </w:r>
    </w:p>
    <w:p w14:paraId="0972A647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整改要求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：明确整改的具体要求和措施，包括整改的方法、所需资源、完成时间等。</w:t>
      </w:r>
    </w:p>
    <w:p w14:paraId="0E619E01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整改期限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：规定完成整改的具体时间节点。</w:t>
      </w:r>
    </w:p>
    <w:p w14:paraId="51F74648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整改责任人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：指定负责整改该问题的具体人员。</w:t>
      </w:r>
    </w:p>
    <w:p w14:paraId="165021A8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Style w:val="21"/>
          <w:rFonts w:hint="eastAsia" w:asciiTheme="minorEastAsia" w:hAnsiTheme="minorEastAsia" w:eastAsiaTheme="minorEastAsia" w:cstheme="minorEastAsia"/>
          <w:bCs/>
          <w:color w:val="222222"/>
          <w:shd w:val="clear" w:color="auto" w:fill="FFFFFF"/>
          <w:lang w:eastAsia="zh-CN"/>
        </w:rPr>
        <w:t>整改情况记录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：记录整改过程中的关键信息，如整改措施的执行情况、整改过程中遇到的问题及解决方法、整改完成后的状态等。</w:t>
      </w:r>
    </w:p>
    <w:p w14:paraId="1B27FA48">
      <w:pPr>
        <w:numPr>
          <w:ilvl w:val="0"/>
          <w:numId w:val="140"/>
        </w:numPr>
        <w:spacing w:line="360" w:lineRule="auto"/>
        <w:ind w:left="0" w:firstLine="422" w:firstLineChars="200"/>
        <w:rPr>
          <w:rFonts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hd w:val="clear" w:color="auto" w:fill="FFFFFF"/>
          <w:lang w:eastAsia="zh-CN"/>
        </w:rPr>
        <w:t>验收情况：</w:t>
      </w:r>
      <w:r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  <w:t>记录验收时间、验收人员及验收结果（合格/不合格）。</w:t>
      </w:r>
    </w:p>
    <w:p w14:paraId="08B27998">
      <w:pPr>
        <w:numPr>
          <w:ilvl w:val="0"/>
          <w:numId w:val="0"/>
        </w:numPr>
        <w:tabs>
          <w:tab w:val="left" w:pos="720"/>
        </w:tabs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</w:pPr>
    </w:p>
    <w:p w14:paraId="7B1164D3">
      <w:pPr>
        <w:numPr>
          <w:ilvl w:val="0"/>
          <w:numId w:val="0"/>
        </w:numPr>
        <w:tabs>
          <w:tab w:val="left" w:pos="720"/>
        </w:tabs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color w:val="222222"/>
          <w:shd w:val="clear" w:color="auto" w:fill="FFFFFF"/>
          <w:lang w:eastAsia="zh-CN"/>
        </w:rPr>
      </w:pPr>
    </w:p>
    <w:sectPr>
      <w:footerReference r:id="rId16" w:type="default"/>
      <w:footerReference r:id="rId17" w:type="even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1861E">
    <w:pPr>
      <w:spacing w:line="173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97A43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519EC">
    <w:pPr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  <w:lang w:eastAsia="zh-CN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0624663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qZHPnJAQAAk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+cgLw7tjpPKZWyo2Vpg4UKuyumms0iw8zvOth19p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6pkc+c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624663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6EBF4">
    <w:pPr>
      <w:pStyle w:val="1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1CD96">
    <w:pPr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  <w:lang w:eastAsia="zh-CN"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C4D8B31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XW5UtAAAAAFAQAADwAAAAAAAAABACAAAAAiAAAAZHJzL2Rvd25yZXYueG1s&#10;UEsBAhQAFAAAAAgAh07iQP+sMrHHAQAAjwMAAA4AAAAAAAAAAQAgAAAAH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4D8B31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CA7F9">
    <w:pPr>
      <w:pStyle w:val="11"/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DA9578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DA9578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D41FA">
    <w:pPr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  <w:lang w:eastAsia="zh-CN"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3BF5469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5dblS0AAAAAUBAAAPAAAAAAAAAAEAIAAAACIAAABkcnMvZG93bnJldi54bWxQ&#10;SwECFAAUAAAACACHTuJAZ97l4cYBAACP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BF5469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16D6C">
    <w:pPr>
      <w:pStyle w:val="11"/>
      <w:rPr>
        <w:rFonts w:hint="eastAsia" w:eastAsia="宋体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EA7F4">
    <w:pPr>
      <w:pStyle w:val="12"/>
    </w:pPr>
    <w:r>
      <w:rPr>
        <w:sz w:val="2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3787775</wp:posOffset>
              </wp:positionH>
              <wp:positionV relativeFrom="paragraph">
                <wp:posOffset>628650</wp:posOffset>
              </wp:positionV>
              <wp:extent cx="1932940" cy="294640"/>
              <wp:effectExtent l="0" t="0" r="10160" b="1016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940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C4FFB6">
                          <w:pPr>
                            <w:jc w:val="right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T/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 xml:space="preserve">SLIA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01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—202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8.25pt;margin-top:49.5pt;height:23.2pt;width:152.2pt;z-index:251667456;mso-width-relative:page;mso-height-relative:page;" fillcolor="#FFFFFF [3201]" filled="t" stroked="f" coordsize="21600,21600" o:gfxdata="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BXdRdUAAAAKAQAADwAAAAAAAAAB&#10;ACAAAAAiAAAAZHJzL2Rvd25yZXYueG1sUEsBAhQAFAAAAAgAh07iQN3UeZVMAgAAkQQAAA4AAAAA&#10;AAAAAQAgAAAAJAEAAGRycy9lMm9Eb2MueG1sUEsFBgAAAAAGAAYAWQEAAOI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46C4FFB6">
                    <w:pPr>
                      <w:jc w:val="right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T/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 xml:space="preserve">SLIA 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01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—202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CCA8C">
    <w:pPr>
      <w:pStyle w:val="7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-584835</wp:posOffset>
              </wp:positionH>
              <wp:positionV relativeFrom="paragraph">
                <wp:posOffset>565150</wp:posOffset>
              </wp:positionV>
              <wp:extent cx="1932940" cy="294640"/>
              <wp:effectExtent l="0" t="0" r="10160" b="1016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940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F145A3">
                          <w:pPr>
                            <w:jc w:val="right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T/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 xml:space="preserve">SLIA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01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—202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46.05pt;margin-top:44.5pt;height:23.2pt;width:152.2pt;z-index:251669504;mso-width-relative:page;mso-height-relative:page;" fillcolor="#FFFFFF [3201]" filled="t" stroked="f" coordsize="21600,21600" o:gfxdata="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5xpFu1gAAAAoBAAAPAAAAAAAA&#10;AAEAIAAAACIAAABkcnMvZG93bnJldi54bWxQSwECFAAUAAAACACHTuJAd1Dv4k0CAACRBAAADgAA&#10;AAAAAAABACAAAAAlAQAAZHJzL2Uyb0RvYy54bWxQSwUGAAAAAAYABgBZAQAA5AUAAAAA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3EF145A3">
                    <w:pPr>
                      <w:jc w:val="right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T/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 xml:space="preserve">SLIA 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01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—202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7A840">
    <w:pPr>
      <w:pStyle w:val="12"/>
    </w:pPr>
    <w:r>
      <w:rPr>
        <w:sz w:val="2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3787775</wp:posOffset>
              </wp:positionH>
              <wp:positionV relativeFrom="paragraph">
                <wp:posOffset>628650</wp:posOffset>
              </wp:positionV>
              <wp:extent cx="1932940" cy="294640"/>
              <wp:effectExtent l="0" t="0" r="10160" b="1016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940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9CD51">
                          <w:pPr>
                            <w:jc w:val="right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T/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 xml:space="preserve">SLIA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01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—202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8.25pt;margin-top:49.5pt;height:23.2pt;width:152.2pt;z-index:251668480;mso-width-relative:page;mso-height-relative:page;" fillcolor="#FFFFFF [3201]" filled="t" stroked="f" coordsize="21600,21600" o:gfxdata="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BXdRdUAAAAKAQAADwAAAAAAAAAB&#10;ACAAAAAiAAAAZHJzL2Rvd25yZXYueG1sUEsBAhQAFAAAAAgAh07iQIiWsq5MAgAAkQQAAA4AAAAA&#10;AAAAAQAgAAAAJAEAAGRycy9lMm9Eb2MueG1sUEsFBgAAAAAGAAYAWQEAAOI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7BA9CD51">
                    <w:pPr>
                      <w:jc w:val="right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T/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 xml:space="preserve">SLIA 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01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—202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3704C">
    <w:pPr>
      <w:pStyle w:val="7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4038600</wp:posOffset>
              </wp:positionH>
              <wp:positionV relativeFrom="paragraph">
                <wp:posOffset>-48895</wp:posOffset>
              </wp:positionV>
              <wp:extent cx="1932940" cy="294640"/>
              <wp:effectExtent l="0" t="0" r="10160" b="1016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718810" y="935990"/>
                        <a:ext cx="1932940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974775">
                          <w:pPr>
                            <w:jc w:val="right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T/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 xml:space="preserve">SLIA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01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—202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18pt;margin-top:-3.85pt;height:23.2pt;width:152.2pt;z-index:251662336;mso-width-relative:page;mso-height-relative:page;" fillcolor="#FFFFFF [3201]" filled="t" stroked="f" coordsize="21600,21600" o:gfxdata="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TAjbbNYAAAAJ&#10;AQAADwAAAAAAAAABACAAAAAiAAAAZHJzL2Rvd25yZXYueG1sUEsBAhQAFAAAAAgAh07iQOW/BjJX&#10;AgAAmgQAAA4AAAAAAAAAAQAgAAAAJQEAAGRycy9lMm9Eb2MueG1sUEsFBgAAAAAGAAYAWQEAAO4F&#10;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71974775">
                    <w:pPr>
                      <w:jc w:val="right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T/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 xml:space="preserve">SLIA 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01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—202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2A2EA">
    <w:pPr>
      <w:pStyle w:val="12"/>
    </w:pPr>
    <w:r>
      <w:rPr>
        <w:sz w:val="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-61595</wp:posOffset>
              </wp:positionV>
              <wp:extent cx="1932940" cy="294640"/>
              <wp:effectExtent l="0" t="0" r="10160" b="1016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940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4610C">
                          <w:pPr>
                            <w:jc w:val="left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T/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 xml:space="preserve">SLIA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01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—202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4.5pt;margin-top:-4.85pt;height:23.2pt;width:152.2pt;z-index:251663360;mso-width-relative:page;mso-height-relative:page;" fillcolor="#FFFFFF [3201]" filled="t" stroked="f" coordsize="21600,21600" o:gfxdata="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n5/X9UAAAAIAQAADwAAAAAAAAAB&#10;ACAAAAAiAAAAZHJzL2Rvd25yZXYueG1sUEsBAhQAFAAAAAgAh07iQI+vBqpMAgAAjwQAAA4AAAAA&#10;AAAAAQAgAAAAJAEAAGRycy9lMm9Eb2MueG1sUEsFBgAAAAAGAAYAWQEAAOI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7A44610C">
                    <w:pPr>
                      <w:jc w:val="left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T/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 xml:space="preserve">SLIA 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01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—202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02C36">
    <w:pPr>
      <w:pStyle w:val="7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4038600</wp:posOffset>
              </wp:positionH>
              <wp:positionV relativeFrom="paragraph">
                <wp:posOffset>-48895</wp:posOffset>
              </wp:positionV>
              <wp:extent cx="1932940" cy="294640"/>
              <wp:effectExtent l="0" t="0" r="10160" b="1016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718810" y="935990"/>
                        <a:ext cx="1932940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B8FA02">
                          <w:pPr>
                            <w:jc w:val="right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T/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 xml:space="preserve">SLIA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01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—202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18pt;margin-top:-3.85pt;height:23.2pt;width:152.2pt;z-index:251670528;mso-width-relative:page;mso-height-relative:page;" fillcolor="#FFFFFF [3201]" filled="t" stroked="f" coordsize="21600,21600" o:gfxdata="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wI22zWAAAA&#10;CQEAAA8AAAAAAAAAAQAgAAAAIgAAAGRycy9kb3ducmV2LnhtbFBLAQIUABQAAAAIAIdO4kAWBd58&#10;WAIAAJwEAAAOAAAAAAAAAAEAIAAAACUBAABkcnMvZTJvRG9jLnhtbFBLBQYAAAAABgAGAFkBAADv&#10;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3CB8FA02">
                    <w:pPr>
                      <w:jc w:val="right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T/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 xml:space="preserve">SLIA 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01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—202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A780B">
    <w:pPr>
      <w:pStyle w:val="12"/>
    </w:pPr>
    <w:r>
      <w:rPr>
        <w:sz w:val="2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-61595</wp:posOffset>
              </wp:positionV>
              <wp:extent cx="1932940" cy="294640"/>
              <wp:effectExtent l="0" t="0" r="10160" b="1016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940" cy="294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54948">
                          <w:pPr>
                            <w:jc w:val="left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T/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 xml:space="preserve">SLIA 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01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</w:rPr>
                            <w:t>—202</w:t>
                          </w:r>
                          <w:r>
                            <w:rPr>
                              <w:rFonts w:hint="eastAsia" w:ascii="黑体" w:hAnsi="黑体" w:eastAsia="黑体" w:cs="黑体"/>
                              <w:color w:val="auto"/>
                              <w:spacing w:val="-1"/>
                              <w:sz w:val="24"/>
                              <w:szCs w:val="24"/>
                              <w:lang w:eastAsia="zh-CN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4.5pt;margin-top:-4.85pt;height:23.2pt;width:152.2pt;z-index:251671552;mso-width-relative:page;mso-height-relative:page;" fillcolor="#FFFFFF [3201]" filled="t" stroked="f" coordsize="21600,21600" o:gfxdata="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5+f1/VAAAACAEAAA8AAAAAAAAA&#10;AQAgAAAAIgAAAGRycy9kb3ducmV2LnhtbFBLAQIUABQAAAAIAIdO4kCJ3VR6TQIAAJEEAAAOAAAA&#10;AAAAAAEAIAAAACQBAABkcnMvZTJvRG9jLnhtbFBLBQYAAAAABgAGAFkBAADj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43F54948">
                    <w:pPr>
                      <w:jc w:val="left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T/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 xml:space="preserve">SLIA 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0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01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</w:rPr>
                      <w:t>—202</w:t>
                    </w:r>
                    <w:r>
                      <w:rPr>
                        <w:rFonts w:hint="eastAsia" w:ascii="黑体" w:hAnsi="黑体" w:eastAsia="黑体" w:cs="黑体"/>
                        <w:color w:val="auto"/>
                        <w:spacing w:val="-1"/>
                        <w:sz w:val="24"/>
                        <w:szCs w:val="24"/>
                        <w:lang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F76C1"/>
    <w:multiLevelType w:val="singleLevel"/>
    <w:tmpl w:val="822F76C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8AAC42F2"/>
    <w:multiLevelType w:val="singleLevel"/>
    <w:tmpl w:val="8AAC42F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8CA36EC7"/>
    <w:multiLevelType w:val="singleLevel"/>
    <w:tmpl w:val="8CA36EC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8D21B9BD"/>
    <w:multiLevelType w:val="singleLevel"/>
    <w:tmpl w:val="8D21B9B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94F746F3"/>
    <w:multiLevelType w:val="singleLevel"/>
    <w:tmpl w:val="94F746F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976ABDC3"/>
    <w:multiLevelType w:val="singleLevel"/>
    <w:tmpl w:val="976ABDC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98E59EA1"/>
    <w:multiLevelType w:val="singleLevel"/>
    <w:tmpl w:val="98E59EA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9A338B7F"/>
    <w:multiLevelType w:val="singleLevel"/>
    <w:tmpl w:val="9A338B7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9AB1D675"/>
    <w:multiLevelType w:val="singleLevel"/>
    <w:tmpl w:val="9AB1D67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9BAA6C62"/>
    <w:multiLevelType w:val="singleLevel"/>
    <w:tmpl w:val="9BAA6C6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9DA10726"/>
    <w:multiLevelType w:val="singleLevel"/>
    <w:tmpl w:val="9DA1072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9FC126FC"/>
    <w:multiLevelType w:val="singleLevel"/>
    <w:tmpl w:val="9FC126F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A20918B5"/>
    <w:multiLevelType w:val="singleLevel"/>
    <w:tmpl w:val="A20918B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">
    <w:nsid w:val="A8E4A110"/>
    <w:multiLevelType w:val="singleLevel"/>
    <w:tmpl w:val="A8E4A11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A8E73224"/>
    <w:multiLevelType w:val="singleLevel"/>
    <w:tmpl w:val="A8E7322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AB5817E3"/>
    <w:multiLevelType w:val="singleLevel"/>
    <w:tmpl w:val="AB5817E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6">
    <w:nsid w:val="AC7D10BB"/>
    <w:multiLevelType w:val="singleLevel"/>
    <w:tmpl w:val="AC7D10B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7">
    <w:nsid w:val="ACD2F8C1"/>
    <w:multiLevelType w:val="singleLevel"/>
    <w:tmpl w:val="ACD2F8C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8">
    <w:nsid w:val="AE49488F"/>
    <w:multiLevelType w:val="singleLevel"/>
    <w:tmpl w:val="AE49488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9">
    <w:nsid w:val="AE9F3095"/>
    <w:multiLevelType w:val="singleLevel"/>
    <w:tmpl w:val="AE9F309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0">
    <w:nsid w:val="AFC22972"/>
    <w:multiLevelType w:val="singleLevel"/>
    <w:tmpl w:val="AFC2297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1">
    <w:nsid w:val="B165FE56"/>
    <w:multiLevelType w:val="singleLevel"/>
    <w:tmpl w:val="B165FE5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2">
    <w:nsid w:val="B5296202"/>
    <w:multiLevelType w:val="singleLevel"/>
    <w:tmpl w:val="B529620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3">
    <w:nsid w:val="B57AB8F0"/>
    <w:multiLevelType w:val="singleLevel"/>
    <w:tmpl w:val="B57AB8F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4">
    <w:nsid w:val="B7ED9EAE"/>
    <w:multiLevelType w:val="singleLevel"/>
    <w:tmpl w:val="B7ED9EA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5">
    <w:nsid w:val="B84386B0"/>
    <w:multiLevelType w:val="singleLevel"/>
    <w:tmpl w:val="B84386B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6">
    <w:nsid w:val="BC80A442"/>
    <w:multiLevelType w:val="singleLevel"/>
    <w:tmpl w:val="BC80A44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7">
    <w:nsid w:val="BD52D73E"/>
    <w:multiLevelType w:val="singleLevel"/>
    <w:tmpl w:val="BD52D7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8">
    <w:nsid w:val="C01913EA"/>
    <w:multiLevelType w:val="singleLevel"/>
    <w:tmpl w:val="C01913E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9">
    <w:nsid w:val="C0C052E1"/>
    <w:multiLevelType w:val="singleLevel"/>
    <w:tmpl w:val="C0C052E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0">
    <w:nsid w:val="C28C8AB5"/>
    <w:multiLevelType w:val="singleLevel"/>
    <w:tmpl w:val="C28C8AB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1">
    <w:nsid w:val="C6765152"/>
    <w:multiLevelType w:val="singleLevel"/>
    <w:tmpl w:val="C676515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2">
    <w:nsid w:val="CAE2F3F6"/>
    <w:multiLevelType w:val="singleLevel"/>
    <w:tmpl w:val="CAE2F3F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3">
    <w:nsid w:val="CBB295DE"/>
    <w:multiLevelType w:val="singleLevel"/>
    <w:tmpl w:val="CBB295D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4">
    <w:nsid w:val="CC5943C0"/>
    <w:multiLevelType w:val="singleLevel"/>
    <w:tmpl w:val="CC5943C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5">
    <w:nsid w:val="CD0082B8"/>
    <w:multiLevelType w:val="singleLevel"/>
    <w:tmpl w:val="CD0082B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6">
    <w:nsid w:val="CD2AE5A8"/>
    <w:multiLevelType w:val="singleLevel"/>
    <w:tmpl w:val="CD2AE5A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7">
    <w:nsid w:val="CEA3C68E"/>
    <w:multiLevelType w:val="singleLevel"/>
    <w:tmpl w:val="CEA3C68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8">
    <w:nsid w:val="CECCBA8F"/>
    <w:multiLevelType w:val="singleLevel"/>
    <w:tmpl w:val="CECCBA8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9">
    <w:nsid w:val="CEF71D7C"/>
    <w:multiLevelType w:val="singleLevel"/>
    <w:tmpl w:val="CEF71D7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0">
    <w:nsid w:val="CFF1B368"/>
    <w:multiLevelType w:val="singleLevel"/>
    <w:tmpl w:val="CFF1B36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1">
    <w:nsid w:val="D0479B72"/>
    <w:multiLevelType w:val="singleLevel"/>
    <w:tmpl w:val="D0479B7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2">
    <w:nsid w:val="D5AA42EE"/>
    <w:multiLevelType w:val="singleLevel"/>
    <w:tmpl w:val="D5AA42E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3">
    <w:nsid w:val="D5D2A5DE"/>
    <w:multiLevelType w:val="singleLevel"/>
    <w:tmpl w:val="D5D2A5D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4">
    <w:nsid w:val="D5D536EF"/>
    <w:multiLevelType w:val="singleLevel"/>
    <w:tmpl w:val="D5D536E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5">
    <w:nsid w:val="D7F2C5B4"/>
    <w:multiLevelType w:val="singleLevel"/>
    <w:tmpl w:val="D7F2C5B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6">
    <w:nsid w:val="D89B739F"/>
    <w:multiLevelType w:val="singleLevel"/>
    <w:tmpl w:val="D89B739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7">
    <w:nsid w:val="DFA1EFFE"/>
    <w:multiLevelType w:val="singleLevel"/>
    <w:tmpl w:val="DFA1EFF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8">
    <w:nsid w:val="E030CBAB"/>
    <w:multiLevelType w:val="singleLevel"/>
    <w:tmpl w:val="E030CBA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9">
    <w:nsid w:val="E7242643"/>
    <w:multiLevelType w:val="singleLevel"/>
    <w:tmpl w:val="E724264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0">
    <w:nsid w:val="E9444619"/>
    <w:multiLevelType w:val="singleLevel"/>
    <w:tmpl w:val="E944461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1">
    <w:nsid w:val="EA40DC05"/>
    <w:multiLevelType w:val="singleLevel"/>
    <w:tmpl w:val="EA40DC0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2">
    <w:nsid w:val="EBE01FD4"/>
    <w:multiLevelType w:val="singleLevel"/>
    <w:tmpl w:val="EBE01FD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3">
    <w:nsid w:val="ED5B00B7"/>
    <w:multiLevelType w:val="singleLevel"/>
    <w:tmpl w:val="ED5B00B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4">
    <w:nsid w:val="ED8363A7"/>
    <w:multiLevelType w:val="singleLevel"/>
    <w:tmpl w:val="ED8363A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5">
    <w:nsid w:val="EED15085"/>
    <w:multiLevelType w:val="singleLevel"/>
    <w:tmpl w:val="EED1508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6">
    <w:nsid w:val="EEFC448A"/>
    <w:multiLevelType w:val="singleLevel"/>
    <w:tmpl w:val="EEFC448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7">
    <w:nsid w:val="F0752568"/>
    <w:multiLevelType w:val="singleLevel"/>
    <w:tmpl w:val="F075256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8">
    <w:nsid w:val="F09D8859"/>
    <w:multiLevelType w:val="singleLevel"/>
    <w:tmpl w:val="F09D885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9">
    <w:nsid w:val="F6D462D1"/>
    <w:multiLevelType w:val="singleLevel"/>
    <w:tmpl w:val="F6D462D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0">
    <w:nsid w:val="F727B9C6"/>
    <w:multiLevelType w:val="singleLevel"/>
    <w:tmpl w:val="F727B9C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1">
    <w:nsid w:val="F7A404B8"/>
    <w:multiLevelType w:val="singleLevel"/>
    <w:tmpl w:val="F7A404B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2">
    <w:nsid w:val="F8224FB2"/>
    <w:multiLevelType w:val="singleLevel"/>
    <w:tmpl w:val="F8224FB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3">
    <w:nsid w:val="F9703C8C"/>
    <w:multiLevelType w:val="singleLevel"/>
    <w:tmpl w:val="F9703C8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4">
    <w:nsid w:val="FA6CD278"/>
    <w:multiLevelType w:val="singleLevel"/>
    <w:tmpl w:val="FA6CD27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5">
    <w:nsid w:val="FB138063"/>
    <w:multiLevelType w:val="singleLevel"/>
    <w:tmpl w:val="FB13806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6">
    <w:nsid w:val="FFD179F4"/>
    <w:multiLevelType w:val="singleLevel"/>
    <w:tmpl w:val="FFD179F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7">
    <w:nsid w:val="004DC4EE"/>
    <w:multiLevelType w:val="singleLevel"/>
    <w:tmpl w:val="004DC4E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8">
    <w:nsid w:val="0219FCC2"/>
    <w:multiLevelType w:val="singleLevel"/>
    <w:tmpl w:val="0219FCC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9">
    <w:nsid w:val="031492AB"/>
    <w:multiLevelType w:val="singleLevel"/>
    <w:tmpl w:val="031492A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0">
    <w:nsid w:val="084E4626"/>
    <w:multiLevelType w:val="singleLevel"/>
    <w:tmpl w:val="084E462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1">
    <w:nsid w:val="0AEA1FE1"/>
    <w:multiLevelType w:val="singleLevel"/>
    <w:tmpl w:val="0AEA1FE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2">
    <w:nsid w:val="0D0C3FBB"/>
    <w:multiLevelType w:val="singleLevel"/>
    <w:tmpl w:val="0D0C3FB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3">
    <w:nsid w:val="0E313897"/>
    <w:multiLevelType w:val="singleLevel"/>
    <w:tmpl w:val="0E31389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4">
    <w:nsid w:val="0E5A2C98"/>
    <w:multiLevelType w:val="singleLevel"/>
    <w:tmpl w:val="0E5A2C9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5">
    <w:nsid w:val="0ED87793"/>
    <w:multiLevelType w:val="singleLevel"/>
    <w:tmpl w:val="0ED8779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6">
    <w:nsid w:val="0F54C285"/>
    <w:multiLevelType w:val="singleLevel"/>
    <w:tmpl w:val="0F54C28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7">
    <w:nsid w:val="1245F336"/>
    <w:multiLevelType w:val="singleLevel"/>
    <w:tmpl w:val="1245F33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8">
    <w:nsid w:val="12994A2B"/>
    <w:multiLevelType w:val="singleLevel"/>
    <w:tmpl w:val="12994A2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9">
    <w:nsid w:val="129BDB3B"/>
    <w:multiLevelType w:val="singleLevel"/>
    <w:tmpl w:val="129BDB3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0">
    <w:nsid w:val="136B7D23"/>
    <w:multiLevelType w:val="singleLevel"/>
    <w:tmpl w:val="136B7D2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1">
    <w:nsid w:val="1537B4F7"/>
    <w:multiLevelType w:val="singleLevel"/>
    <w:tmpl w:val="1537B4F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2">
    <w:nsid w:val="1560A8F8"/>
    <w:multiLevelType w:val="singleLevel"/>
    <w:tmpl w:val="1560A8F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3">
    <w:nsid w:val="1E5DC01F"/>
    <w:multiLevelType w:val="singleLevel"/>
    <w:tmpl w:val="1E5DC01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4">
    <w:nsid w:val="207D4EE5"/>
    <w:multiLevelType w:val="singleLevel"/>
    <w:tmpl w:val="207D4EE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5">
    <w:nsid w:val="2177E4D1"/>
    <w:multiLevelType w:val="singleLevel"/>
    <w:tmpl w:val="2177E4D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6">
    <w:nsid w:val="22727ABD"/>
    <w:multiLevelType w:val="singleLevel"/>
    <w:tmpl w:val="22727AB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7">
    <w:nsid w:val="236C7F95"/>
    <w:multiLevelType w:val="singleLevel"/>
    <w:tmpl w:val="236C7F9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8">
    <w:nsid w:val="24BCFD84"/>
    <w:multiLevelType w:val="singleLevel"/>
    <w:tmpl w:val="24BCFD8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9">
    <w:nsid w:val="2758D743"/>
    <w:multiLevelType w:val="singleLevel"/>
    <w:tmpl w:val="2758D74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0">
    <w:nsid w:val="2A72FBF5"/>
    <w:multiLevelType w:val="singleLevel"/>
    <w:tmpl w:val="2A72FBF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1">
    <w:nsid w:val="2CBD7EC3"/>
    <w:multiLevelType w:val="singleLevel"/>
    <w:tmpl w:val="2CBD7EC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2">
    <w:nsid w:val="2D3BC9B5"/>
    <w:multiLevelType w:val="singleLevel"/>
    <w:tmpl w:val="2D3BC9B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3">
    <w:nsid w:val="2D622CA5"/>
    <w:multiLevelType w:val="singleLevel"/>
    <w:tmpl w:val="2D622CA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4">
    <w:nsid w:val="2EDD0D84"/>
    <w:multiLevelType w:val="singleLevel"/>
    <w:tmpl w:val="2EDD0D8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5">
    <w:nsid w:val="2F060189"/>
    <w:multiLevelType w:val="singleLevel"/>
    <w:tmpl w:val="2F06018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6">
    <w:nsid w:val="31F9C34E"/>
    <w:multiLevelType w:val="singleLevel"/>
    <w:tmpl w:val="31F9C34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7">
    <w:nsid w:val="33C36A0E"/>
    <w:multiLevelType w:val="singleLevel"/>
    <w:tmpl w:val="33C36A0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8">
    <w:nsid w:val="3441B500"/>
    <w:multiLevelType w:val="singleLevel"/>
    <w:tmpl w:val="3441B50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9">
    <w:nsid w:val="360DECD4"/>
    <w:multiLevelType w:val="singleLevel"/>
    <w:tmpl w:val="360DECD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0">
    <w:nsid w:val="360E7DE8"/>
    <w:multiLevelType w:val="singleLevel"/>
    <w:tmpl w:val="360E7DE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1">
    <w:nsid w:val="370682C0"/>
    <w:multiLevelType w:val="singleLevel"/>
    <w:tmpl w:val="370682C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2">
    <w:nsid w:val="38FFAE99"/>
    <w:multiLevelType w:val="singleLevel"/>
    <w:tmpl w:val="38FFAE9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3">
    <w:nsid w:val="397BF98F"/>
    <w:multiLevelType w:val="singleLevel"/>
    <w:tmpl w:val="397BF98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4">
    <w:nsid w:val="39A45C7F"/>
    <w:multiLevelType w:val="singleLevel"/>
    <w:tmpl w:val="39A45C7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5">
    <w:nsid w:val="39F84485"/>
    <w:multiLevelType w:val="singleLevel"/>
    <w:tmpl w:val="39F8448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6">
    <w:nsid w:val="3C941E41"/>
    <w:multiLevelType w:val="singleLevel"/>
    <w:tmpl w:val="3C941E4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7">
    <w:nsid w:val="3D67C028"/>
    <w:multiLevelType w:val="singleLevel"/>
    <w:tmpl w:val="3D67C02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8">
    <w:nsid w:val="3E376210"/>
    <w:multiLevelType w:val="singleLevel"/>
    <w:tmpl w:val="3E37621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9">
    <w:nsid w:val="3E8D4A1A"/>
    <w:multiLevelType w:val="singleLevel"/>
    <w:tmpl w:val="3E8D4A1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0">
    <w:nsid w:val="453FDE73"/>
    <w:multiLevelType w:val="singleLevel"/>
    <w:tmpl w:val="453FDE7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1">
    <w:nsid w:val="4662D74C"/>
    <w:multiLevelType w:val="singleLevel"/>
    <w:tmpl w:val="4662D74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2">
    <w:nsid w:val="49D0E407"/>
    <w:multiLevelType w:val="singleLevel"/>
    <w:tmpl w:val="49D0E40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3">
    <w:nsid w:val="4A7822FF"/>
    <w:multiLevelType w:val="singleLevel"/>
    <w:tmpl w:val="4A7822F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4">
    <w:nsid w:val="4BF072CD"/>
    <w:multiLevelType w:val="singleLevel"/>
    <w:tmpl w:val="4BF072C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5">
    <w:nsid w:val="4C99B1C4"/>
    <w:multiLevelType w:val="singleLevel"/>
    <w:tmpl w:val="4C99B1C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6">
    <w:nsid w:val="4DBCAAA1"/>
    <w:multiLevelType w:val="singleLevel"/>
    <w:tmpl w:val="4DBCAAA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7">
    <w:nsid w:val="4EE23492"/>
    <w:multiLevelType w:val="singleLevel"/>
    <w:tmpl w:val="4EE2349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8">
    <w:nsid w:val="541DE809"/>
    <w:multiLevelType w:val="singleLevel"/>
    <w:tmpl w:val="541DE80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9">
    <w:nsid w:val="556BD4EA"/>
    <w:multiLevelType w:val="singleLevel"/>
    <w:tmpl w:val="556BD4E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0">
    <w:nsid w:val="56B9C1C4"/>
    <w:multiLevelType w:val="singleLevel"/>
    <w:tmpl w:val="56B9C1C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1">
    <w:nsid w:val="5904D5A3"/>
    <w:multiLevelType w:val="singleLevel"/>
    <w:tmpl w:val="5904D5A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2">
    <w:nsid w:val="59D4778E"/>
    <w:multiLevelType w:val="singleLevel"/>
    <w:tmpl w:val="59D4778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3">
    <w:nsid w:val="5DC03E27"/>
    <w:multiLevelType w:val="singleLevel"/>
    <w:tmpl w:val="5DC03E2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4">
    <w:nsid w:val="5DEB3228"/>
    <w:multiLevelType w:val="singleLevel"/>
    <w:tmpl w:val="5DEB322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5">
    <w:nsid w:val="5F6181FA"/>
    <w:multiLevelType w:val="singleLevel"/>
    <w:tmpl w:val="5F6181F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6">
    <w:nsid w:val="60870BE4"/>
    <w:multiLevelType w:val="singleLevel"/>
    <w:tmpl w:val="60870BE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7">
    <w:nsid w:val="60B16ED4"/>
    <w:multiLevelType w:val="singleLevel"/>
    <w:tmpl w:val="60B16ED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8">
    <w:nsid w:val="685F2A2F"/>
    <w:multiLevelType w:val="singleLevel"/>
    <w:tmpl w:val="685F2A2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9">
    <w:nsid w:val="69D779FD"/>
    <w:multiLevelType w:val="singleLevel"/>
    <w:tmpl w:val="69D779F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0">
    <w:nsid w:val="6A006E02"/>
    <w:multiLevelType w:val="singleLevel"/>
    <w:tmpl w:val="6A006E0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1">
    <w:nsid w:val="6BA3B1D1"/>
    <w:multiLevelType w:val="singleLevel"/>
    <w:tmpl w:val="6BA3B1D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2">
    <w:nsid w:val="6CF19EB2"/>
    <w:multiLevelType w:val="singleLevel"/>
    <w:tmpl w:val="6CF19EB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3">
    <w:nsid w:val="6E401CA1"/>
    <w:multiLevelType w:val="singleLevel"/>
    <w:tmpl w:val="6E401CA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4">
    <w:nsid w:val="6F11BE88"/>
    <w:multiLevelType w:val="singleLevel"/>
    <w:tmpl w:val="6F11BE8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5">
    <w:nsid w:val="708A9F6B"/>
    <w:multiLevelType w:val="singleLevel"/>
    <w:tmpl w:val="708A9F6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6">
    <w:nsid w:val="76409DD8"/>
    <w:multiLevelType w:val="singleLevel"/>
    <w:tmpl w:val="76409DD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7">
    <w:nsid w:val="782C6C16"/>
    <w:multiLevelType w:val="multilevel"/>
    <w:tmpl w:val="782C6C1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8">
    <w:nsid w:val="79AE1983"/>
    <w:multiLevelType w:val="singleLevel"/>
    <w:tmpl w:val="79AE198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9">
    <w:nsid w:val="7A2C6475"/>
    <w:multiLevelType w:val="singleLevel"/>
    <w:tmpl w:val="7A2C647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4"/>
  </w:num>
  <w:num w:numId="2">
    <w:abstractNumId w:val="121"/>
  </w:num>
  <w:num w:numId="3">
    <w:abstractNumId w:val="22"/>
  </w:num>
  <w:num w:numId="4">
    <w:abstractNumId w:val="27"/>
  </w:num>
  <w:num w:numId="5">
    <w:abstractNumId w:val="82"/>
  </w:num>
  <w:num w:numId="6">
    <w:abstractNumId w:val="44"/>
  </w:num>
  <w:num w:numId="7">
    <w:abstractNumId w:val="96"/>
  </w:num>
  <w:num w:numId="8">
    <w:abstractNumId w:val="100"/>
  </w:num>
  <w:num w:numId="9">
    <w:abstractNumId w:val="51"/>
  </w:num>
  <w:num w:numId="10">
    <w:abstractNumId w:val="113"/>
  </w:num>
  <w:num w:numId="11">
    <w:abstractNumId w:val="79"/>
  </w:num>
  <w:num w:numId="12">
    <w:abstractNumId w:val="9"/>
  </w:num>
  <w:num w:numId="13">
    <w:abstractNumId w:val="32"/>
  </w:num>
  <w:num w:numId="14">
    <w:abstractNumId w:val="11"/>
  </w:num>
  <w:num w:numId="15">
    <w:abstractNumId w:val="25"/>
  </w:num>
  <w:num w:numId="16">
    <w:abstractNumId w:val="128"/>
  </w:num>
  <w:num w:numId="17">
    <w:abstractNumId w:val="135"/>
  </w:num>
  <w:num w:numId="18">
    <w:abstractNumId w:val="88"/>
  </w:num>
  <w:num w:numId="19">
    <w:abstractNumId w:val="3"/>
  </w:num>
  <w:num w:numId="20">
    <w:abstractNumId w:val="50"/>
  </w:num>
  <w:num w:numId="21">
    <w:abstractNumId w:val="53"/>
  </w:num>
  <w:num w:numId="22">
    <w:abstractNumId w:val="122"/>
  </w:num>
  <w:num w:numId="23">
    <w:abstractNumId w:val="124"/>
  </w:num>
  <w:num w:numId="24">
    <w:abstractNumId w:val="133"/>
  </w:num>
  <w:num w:numId="25">
    <w:abstractNumId w:val="83"/>
  </w:num>
  <w:num w:numId="26">
    <w:abstractNumId w:val="86"/>
  </w:num>
  <w:num w:numId="27">
    <w:abstractNumId w:val="41"/>
  </w:num>
  <w:num w:numId="28">
    <w:abstractNumId w:val="2"/>
  </w:num>
  <w:num w:numId="29">
    <w:abstractNumId w:val="6"/>
  </w:num>
  <w:num w:numId="30">
    <w:abstractNumId w:val="21"/>
  </w:num>
  <w:num w:numId="31">
    <w:abstractNumId w:val="23"/>
  </w:num>
  <w:num w:numId="32">
    <w:abstractNumId w:val="0"/>
  </w:num>
  <w:num w:numId="33">
    <w:abstractNumId w:val="109"/>
  </w:num>
  <w:num w:numId="34">
    <w:abstractNumId w:val="8"/>
  </w:num>
  <w:num w:numId="35">
    <w:abstractNumId w:val="59"/>
  </w:num>
  <w:num w:numId="36">
    <w:abstractNumId w:val="117"/>
  </w:num>
  <w:num w:numId="37">
    <w:abstractNumId w:val="69"/>
  </w:num>
  <w:num w:numId="38">
    <w:abstractNumId w:val="76"/>
  </w:num>
  <w:num w:numId="39">
    <w:abstractNumId w:val="80"/>
  </w:num>
  <w:num w:numId="40">
    <w:abstractNumId w:val="33"/>
  </w:num>
  <w:num w:numId="41">
    <w:abstractNumId w:val="45"/>
  </w:num>
  <w:num w:numId="42">
    <w:abstractNumId w:val="48"/>
  </w:num>
  <w:num w:numId="43">
    <w:abstractNumId w:val="57"/>
  </w:num>
  <w:num w:numId="44">
    <w:abstractNumId w:val="115"/>
  </w:num>
  <w:num w:numId="45">
    <w:abstractNumId w:val="17"/>
  </w:num>
  <w:num w:numId="46">
    <w:abstractNumId w:val="72"/>
  </w:num>
  <w:num w:numId="47">
    <w:abstractNumId w:val="81"/>
  </w:num>
  <w:num w:numId="48">
    <w:abstractNumId w:val="85"/>
  </w:num>
  <w:num w:numId="49">
    <w:abstractNumId w:val="42"/>
  </w:num>
  <w:num w:numId="50">
    <w:abstractNumId w:val="105"/>
  </w:num>
  <w:num w:numId="51">
    <w:abstractNumId w:val="7"/>
  </w:num>
  <w:num w:numId="52">
    <w:abstractNumId w:val="64"/>
  </w:num>
  <w:num w:numId="53">
    <w:abstractNumId w:val="19"/>
  </w:num>
  <w:num w:numId="54">
    <w:abstractNumId w:val="75"/>
  </w:num>
  <w:num w:numId="55">
    <w:abstractNumId w:val="134"/>
  </w:num>
  <w:num w:numId="56">
    <w:abstractNumId w:val="89"/>
  </w:num>
  <w:num w:numId="57">
    <w:abstractNumId w:val="47"/>
  </w:num>
  <w:num w:numId="58">
    <w:abstractNumId w:val="52"/>
  </w:num>
  <w:num w:numId="59">
    <w:abstractNumId w:val="62"/>
  </w:num>
  <w:num w:numId="60">
    <w:abstractNumId w:val="67"/>
  </w:num>
  <w:num w:numId="61">
    <w:abstractNumId w:val="126"/>
  </w:num>
  <w:num w:numId="62">
    <w:abstractNumId w:val="29"/>
  </w:num>
  <w:num w:numId="63">
    <w:abstractNumId w:val="35"/>
  </w:num>
  <w:num w:numId="64">
    <w:abstractNumId w:val="92"/>
  </w:num>
  <w:num w:numId="65">
    <w:abstractNumId w:val="103"/>
  </w:num>
  <w:num w:numId="66">
    <w:abstractNumId w:val="112"/>
  </w:num>
  <w:num w:numId="67">
    <w:abstractNumId w:val="68"/>
  </w:num>
  <w:num w:numId="68">
    <w:abstractNumId w:val="74"/>
  </w:num>
  <w:num w:numId="69">
    <w:abstractNumId w:val="30"/>
  </w:num>
  <w:num w:numId="70">
    <w:abstractNumId w:val="38"/>
  </w:num>
  <w:num w:numId="71">
    <w:abstractNumId w:val="95"/>
  </w:num>
  <w:num w:numId="72">
    <w:abstractNumId w:val="5"/>
  </w:num>
  <w:num w:numId="73">
    <w:abstractNumId w:val="61"/>
  </w:num>
  <w:num w:numId="74">
    <w:abstractNumId w:val="66"/>
  </w:num>
  <w:num w:numId="75">
    <w:abstractNumId w:val="84"/>
  </w:num>
  <w:num w:numId="76">
    <w:abstractNumId w:val="91"/>
  </w:num>
  <w:num w:numId="77">
    <w:abstractNumId w:val="102"/>
  </w:num>
  <w:num w:numId="78">
    <w:abstractNumId w:val="110"/>
  </w:num>
  <w:num w:numId="79">
    <w:abstractNumId w:val="63"/>
  </w:num>
  <w:num w:numId="80">
    <w:abstractNumId w:val="123"/>
  </w:num>
  <w:num w:numId="81">
    <w:abstractNumId w:val="130"/>
  </w:num>
  <w:num w:numId="82">
    <w:abstractNumId w:val="136"/>
  </w:num>
  <w:num w:numId="83">
    <w:abstractNumId w:val="90"/>
  </w:num>
  <w:num w:numId="84">
    <w:abstractNumId w:val="1"/>
  </w:num>
  <w:num w:numId="85">
    <w:abstractNumId w:val="56"/>
  </w:num>
  <w:num w:numId="86">
    <w:abstractNumId w:val="60"/>
  </w:num>
  <w:num w:numId="87">
    <w:abstractNumId w:val="15"/>
  </w:num>
  <w:num w:numId="88">
    <w:abstractNumId w:val="106"/>
  </w:num>
  <w:num w:numId="89">
    <w:abstractNumId w:val="114"/>
  </w:num>
  <w:num w:numId="90">
    <w:abstractNumId w:val="118"/>
  </w:num>
  <w:num w:numId="91">
    <w:abstractNumId w:val="70"/>
  </w:num>
  <w:num w:numId="92">
    <w:abstractNumId w:val="26"/>
  </w:num>
  <w:num w:numId="93">
    <w:abstractNumId w:val="107"/>
  </w:num>
  <w:num w:numId="94">
    <w:abstractNumId w:val="54"/>
  </w:num>
  <w:num w:numId="95">
    <w:abstractNumId w:val="10"/>
  </w:num>
  <w:num w:numId="96">
    <w:abstractNumId w:val="116"/>
  </w:num>
  <w:num w:numId="97">
    <w:abstractNumId w:val="73"/>
  </w:num>
  <w:num w:numId="98">
    <w:abstractNumId w:val="77"/>
  </w:num>
  <w:num w:numId="99">
    <w:abstractNumId w:val="31"/>
  </w:num>
  <w:num w:numId="100">
    <w:abstractNumId w:val="37"/>
  </w:num>
  <w:num w:numId="101">
    <w:abstractNumId w:val="94"/>
  </w:num>
  <w:num w:numId="102">
    <w:abstractNumId w:val="101"/>
  </w:num>
  <w:num w:numId="103">
    <w:abstractNumId w:val="49"/>
  </w:num>
  <w:num w:numId="104">
    <w:abstractNumId w:val="20"/>
  </w:num>
  <w:num w:numId="105">
    <w:abstractNumId w:val="24"/>
  </w:num>
  <w:num w:numId="106">
    <w:abstractNumId w:val="28"/>
  </w:num>
  <w:num w:numId="107">
    <w:abstractNumId w:val="34"/>
  </w:num>
  <w:num w:numId="108">
    <w:abstractNumId w:val="46"/>
  </w:num>
  <w:num w:numId="109">
    <w:abstractNumId w:val="4"/>
  </w:num>
  <w:num w:numId="110">
    <w:abstractNumId w:val="119"/>
  </w:num>
  <w:num w:numId="111">
    <w:abstractNumId w:val="129"/>
  </w:num>
  <w:num w:numId="112">
    <w:abstractNumId w:val="139"/>
  </w:num>
  <w:num w:numId="113">
    <w:abstractNumId w:val="55"/>
  </w:num>
  <w:num w:numId="114">
    <w:abstractNumId w:val="65"/>
  </w:num>
  <w:num w:numId="115">
    <w:abstractNumId w:val="125"/>
  </w:num>
  <w:num w:numId="116">
    <w:abstractNumId w:val="131"/>
  </w:num>
  <w:num w:numId="117">
    <w:abstractNumId w:val="40"/>
  </w:num>
  <w:num w:numId="118">
    <w:abstractNumId w:val="98"/>
  </w:num>
  <w:num w:numId="119">
    <w:abstractNumId w:val="58"/>
  </w:num>
  <w:num w:numId="120">
    <w:abstractNumId w:val="13"/>
  </w:num>
  <w:num w:numId="121">
    <w:abstractNumId w:val="138"/>
  </w:num>
  <w:num w:numId="122">
    <w:abstractNumId w:val="43"/>
  </w:num>
  <w:num w:numId="123">
    <w:abstractNumId w:val="99"/>
  </w:num>
  <w:num w:numId="124">
    <w:abstractNumId w:val="108"/>
  </w:num>
  <w:num w:numId="125">
    <w:abstractNumId w:val="111"/>
  </w:num>
  <w:num w:numId="126">
    <w:abstractNumId w:val="120"/>
  </w:num>
  <w:num w:numId="127">
    <w:abstractNumId w:val="71"/>
  </w:num>
  <w:num w:numId="128">
    <w:abstractNumId w:val="87"/>
  </w:num>
  <w:num w:numId="129">
    <w:abstractNumId w:val="97"/>
  </w:num>
  <w:num w:numId="130">
    <w:abstractNumId w:val="16"/>
  </w:num>
  <w:num w:numId="131">
    <w:abstractNumId w:val="127"/>
  </w:num>
  <w:num w:numId="132">
    <w:abstractNumId w:val="132"/>
  </w:num>
  <w:num w:numId="133">
    <w:abstractNumId w:val="36"/>
  </w:num>
  <w:num w:numId="134">
    <w:abstractNumId w:val="93"/>
  </w:num>
  <w:num w:numId="135">
    <w:abstractNumId w:val="104"/>
  </w:num>
  <w:num w:numId="136">
    <w:abstractNumId w:val="12"/>
  </w:num>
  <w:num w:numId="137">
    <w:abstractNumId w:val="18"/>
  </w:num>
  <w:num w:numId="138">
    <w:abstractNumId w:val="78"/>
  </w:num>
  <w:num w:numId="139">
    <w:abstractNumId w:val="39"/>
  </w:num>
  <w:num w:numId="140">
    <w:abstractNumId w:val="1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ZjI1OTZiYzQ5YzljODUwZmNkMjQzMGE3ZjgyZGIifQ=="/>
  </w:docVars>
  <w:rsids>
    <w:rsidRoot w:val="55112075"/>
    <w:rsid w:val="001D59F8"/>
    <w:rsid w:val="003072EE"/>
    <w:rsid w:val="005E20DC"/>
    <w:rsid w:val="00BD0D71"/>
    <w:rsid w:val="00C10CDE"/>
    <w:rsid w:val="00C40150"/>
    <w:rsid w:val="00E80432"/>
    <w:rsid w:val="017B6B27"/>
    <w:rsid w:val="019C4C00"/>
    <w:rsid w:val="01A31ABB"/>
    <w:rsid w:val="020A1737"/>
    <w:rsid w:val="02652A0B"/>
    <w:rsid w:val="02D23086"/>
    <w:rsid w:val="03204B4E"/>
    <w:rsid w:val="038373A8"/>
    <w:rsid w:val="04857B08"/>
    <w:rsid w:val="0497230B"/>
    <w:rsid w:val="04BA5D22"/>
    <w:rsid w:val="05047743"/>
    <w:rsid w:val="05531D41"/>
    <w:rsid w:val="055406CA"/>
    <w:rsid w:val="0588581B"/>
    <w:rsid w:val="06231A7E"/>
    <w:rsid w:val="065D6466"/>
    <w:rsid w:val="06696DA9"/>
    <w:rsid w:val="06CB22DF"/>
    <w:rsid w:val="073346DD"/>
    <w:rsid w:val="07C84A57"/>
    <w:rsid w:val="07E45C7F"/>
    <w:rsid w:val="0817778D"/>
    <w:rsid w:val="08870738"/>
    <w:rsid w:val="08D23F81"/>
    <w:rsid w:val="08DC5A1A"/>
    <w:rsid w:val="090162C7"/>
    <w:rsid w:val="09826B89"/>
    <w:rsid w:val="0A1C7FF4"/>
    <w:rsid w:val="0B832534"/>
    <w:rsid w:val="0C9116E7"/>
    <w:rsid w:val="0D9755F8"/>
    <w:rsid w:val="0E3B51E0"/>
    <w:rsid w:val="0E750B33"/>
    <w:rsid w:val="0EA73813"/>
    <w:rsid w:val="0EB70C81"/>
    <w:rsid w:val="0FB255DE"/>
    <w:rsid w:val="0FEE6CE6"/>
    <w:rsid w:val="10195A8B"/>
    <w:rsid w:val="104B5A86"/>
    <w:rsid w:val="109004E6"/>
    <w:rsid w:val="10912402"/>
    <w:rsid w:val="109C4AB5"/>
    <w:rsid w:val="10A13968"/>
    <w:rsid w:val="10F36FE9"/>
    <w:rsid w:val="119340F9"/>
    <w:rsid w:val="11B221D5"/>
    <w:rsid w:val="12911226"/>
    <w:rsid w:val="12CF28EA"/>
    <w:rsid w:val="12E26A32"/>
    <w:rsid w:val="134B4BB4"/>
    <w:rsid w:val="13600F11"/>
    <w:rsid w:val="137E5204"/>
    <w:rsid w:val="138B5274"/>
    <w:rsid w:val="148669B0"/>
    <w:rsid w:val="14C27D98"/>
    <w:rsid w:val="15186751"/>
    <w:rsid w:val="15205ED3"/>
    <w:rsid w:val="15F417CC"/>
    <w:rsid w:val="16446346"/>
    <w:rsid w:val="16A8751D"/>
    <w:rsid w:val="16CE195E"/>
    <w:rsid w:val="17726CB6"/>
    <w:rsid w:val="17913D70"/>
    <w:rsid w:val="17F32CA0"/>
    <w:rsid w:val="185B6643"/>
    <w:rsid w:val="1B63048F"/>
    <w:rsid w:val="1B6C3693"/>
    <w:rsid w:val="1B9E02DC"/>
    <w:rsid w:val="1BA4066C"/>
    <w:rsid w:val="1C911248"/>
    <w:rsid w:val="1D183933"/>
    <w:rsid w:val="1D3221D1"/>
    <w:rsid w:val="1E58492F"/>
    <w:rsid w:val="1E5E4223"/>
    <w:rsid w:val="1E9F04A5"/>
    <w:rsid w:val="1F9A0F77"/>
    <w:rsid w:val="20660F77"/>
    <w:rsid w:val="210F504D"/>
    <w:rsid w:val="214D3BC2"/>
    <w:rsid w:val="220B450E"/>
    <w:rsid w:val="22462CF1"/>
    <w:rsid w:val="22721F6F"/>
    <w:rsid w:val="22A75E85"/>
    <w:rsid w:val="22F75A03"/>
    <w:rsid w:val="2320592D"/>
    <w:rsid w:val="236B0EEE"/>
    <w:rsid w:val="23707EFB"/>
    <w:rsid w:val="25634839"/>
    <w:rsid w:val="25863E51"/>
    <w:rsid w:val="266A3452"/>
    <w:rsid w:val="266E36AE"/>
    <w:rsid w:val="26CA05BC"/>
    <w:rsid w:val="2738297C"/>
    <w:rsid w:val="273919F7"/>
    <w:rsid w:val="273E2428"/>
    <w:rsid w:val="27643E35"/>
    <w:rsid w:val="280D6B6D"/>
    <w:rsid w:val="28875604"/>
    <w:rsid w:val="28BA7F95"/>
    <w:rsid w:val="28D040CB"/>
    <w:rsid w:val="28D04EA7"/>
    <w:rsid w:val="28E553DE"/>
    <w:rsid w:val="29BD593F"/>
    <w:rsid w:val="2AA94FCE"/>
    <w:rsid w:val="2AE46F41"/>
    <w:rsid w:val="2BFE4845"/>
    <w:rsid w:val="2C8F2D4D"/>
    <w:rsid w:val="2CA43435"/>
    <w:rsid w:val="2E1A1DEB"/>
    <w:rsid w:val="2ED74E40"/>
    <w:rsid w:val="2F60503D"/>
    <w:rsid w:val="2FC16D03"/>
    <w:rsid w:val="2FFA3814"/>
    <w:rsid w:val="30934C36"/>
    <w:rsid w:val="30E76246"/>
    <w:rsid w:val="30F37A6A"/>
    <w:rsid w:val="3183186B"/>
    <w:rsid w:val="31F62C51"/>
    <w:rsid w:val="32600FED"/>
    <w:rsid w:val="32693C34"/>
    <w:rsid w:val="32E77BD8"/>
    <w:rsid w:val="332337C6"/>
    <w:rsid w:val="33716EF1"/>
    <w:rsid w:val="33B72FA9"/>
    <w:rsid w:val="340370F1"/>
    <w:rsid w:val="349F14CF"/>
    <w:rsid w:val="359F6A16"/>
    <w:rsid w:val="38544EB4"/>
    <w:rsid w:val="38E946AA"/>
    <w:rsid w:val="39706B79"/>
    <w:rsid w:val="39714AD6"/>
    <w:rsid w:val="39A0651E"/>
    <w:rsid w:val="3A396F6B"/>
    <w:rsid w:val="3A473B5E"/>
    <w:rsid w:val="3A7A1F94"/>
    <w:rsid w:val="3B012A92"/>
    <w:rsid w:val="3B4F771E"/>
    <w:rsid w:val="3BBB3863"/>
    <w:rsid w:val="3C1F7816"/>
    <w:rsid w:val="3CB15FCA"/>
    <w:rsid w:val="3CC22028"/>
    <w:rsid w:val="3D2A2042"/>
    <w:rsid w:val="3DE923AC"/>
    <w:rsid w:val="3E2165AD"/>
    <w:rsid w:val="3E35082C"/>
    <w:rsid w:val="3E732AB2"/>
    <w:rsid w:val="3EA3067E"/>
    <w:rsid w:val="3EAE4DFC"/>
    <w:rsid w:val="3EE07334"/>
    <w:rsid w:val="3EE253DF"/>
    <w:rsid w:val="3F1B120A"/>
    <w:rsid w:val="3FC12AF3"/>
    <w:rsid w:val="405C7E57"/>
    <w:rsid w:val="40650FE8"/>
    <w:rsid w:val="40DF361A"/>
    <w:rsid w:val="415F362E"/>
    <w:rsid w:val="42462B6D"/>
    <w:rsid w:val="42A22C9C"/>
    <w:rsid w:val="42F9198D"/>
    <w:rsid w:val="42FD7BB7"/>
    <w:rsid w:val="431A12A7"/>
    <w:rsid w:val="43DB21DA"/>
    <w:rsid w:val="43E7452D"/>
    <w:rsid w:val="44393C71"/>
    <w:rsid w:val="443F2555"/>
    <w:rsid w:val="44F477C8"/>
    <w:rsid w:val="45014011"/>
    <w:rsid w:val="454669E0"/>
    <w:rsid w:val="458D234F"/>
    <w:rsid w:val="45BF5B37"/>
    <w:rsid w:val="45F65DFC"/>
    <w:rsid w:val="45FB4A41"/>
    <w:rsid w:val="4682586D"/>
    <w:rsid w:val="473D75F0"/>
    <w:rsid w:val="47845A61"/>
    <w:rsid w:val="48A452A9"/>
    <w:rsid w:val="48A623B1"/>
    <w:rsid w:val="48FE28B9"/>
    <w:rsid w:val="491379D2"/>
    <w:rsid w:val="494D4E98"/>
    <w:rsid w:val="49850DFC"/>
    <w:rsid w:val="49F91032"/>
    <w:rsid w:val="4A2D7381"/>
    <w:rsid w:val="4A8E6460"/>
    <w:rsid w:val="4C2640D1"/>
    <w:rsid w:val="4D726A86"/>
    <w:rsid w:val="4E224A72"/>
    <w:rsid w:val="4E9C4AD0"/>
    <w:rsid w:val="4F567D3D"/>
    <w:rsid w:val="4F80387F"/>
    <w:rsid w:val="4FF51F79"/>
    <w:rsid w:val="500570B4"/>
    <w:rsid w:val="506938EA"/>
    <w:rsid w:val="509751C0"/>
    <w:rsid w:val="50CA6717"/>
    <w:rsid w:val="521A547C"/>
    <w:rsid w:val="52853730"/>
    <w:rsid w:val="52C3290B"/>
    <w:rsid w:val="53451C8C"/>
    <w:rsid w:val="5362532D"/>
    <w:rsid w:val="538A3BB4"/>
    <w:rsid w:val="53977AB0"/>
    <w:rsid w:val="53B2676B"/>
    <w:rsid w:val="546832F7"/>
    <w:rsid w:val="55112075"/>
    <w:rsid w:val="569F1B95"/>
    <w:rsid w:val="57770C7B"/>
    <w:rsid w:val="582964C9"/>
    <w:rsid w:val="582F0BA0"/>
    <w:rsid w:val="58576A7B"/>
    <w:rsid w:val="58931E91"/>
    <w:rsid w:val="58DB70F9"/>
    <w:rsid w:val="591E4255"/>
    <w:rsid w:val="5A50638C"/>
    <w:rsid w:val="5AB222A7"/>
    <w:rsid w:val="5AE57A22"/>
    <w:rsid w:val="5AFD76B1"/>
    <w:rsid w:val="5B5401A2"/>
    <w:rsid w:val="5C0E73AA"/>
    <w:rsid w:val="5CF214D0"/>
    <w:rsid w:val="5E0A7EFB"/>
    <w:rsid w:val="5E961DD3"/>
    <w:rsid w:val="5EC969C7"/>
    <w:rsid w:val="5ED6097D"/>
    <w:rsid w:val="5F1C2C1C"/>
    <w:rsid w:val="5FA81BBF"/>
    <w:rsid w:val="6073525A"/>
    <w:rsid w:val="6088514E"/>
    <w:rsid w:val="60EB10AC"/>
    <w:rsid w:val="611D68B7"/>
    <w:rsid w:val="61361629"/>
    <w:rsid w:val="617C4E30"/>
    <w:rsid w:val="61A75566"/>
    <w:rsid w:val="61EB3693"/>
    <w:rsid w:val="624E1307"/>
    <w:rsid w:val="62AE7373"/>
    <w:rsid w:val="62C51707"/>
    <w:rsid w:val="64672B83"/>
    <w:rsid w:val="649D7AA5"/>
    <w:rsid w:val="656C6523"/>
    <w:rsid w:val="65D86EA0"/>
    <w:rsid w:val="66F355D4"/>
    <w:rsid w:val="683D4B58"/>
    <w:rsid w:val="68453232"/>
    <w:rsid w:val="68501A07"/>
    <w:rsid w:val="686C0F75"/>
    <w:rsid w:val="686C7991"/>
    <w:rsid w:val="6B6C069F"/>
    <w:rsid w:val="6BCE4EB6"/>
    <w:rsid w:val="6BD10E4A"/>
    <w:rsid w:val="6C3F3ADF"/>
    <w:rsid w:val="6C4D73FC"/>
    <w:rsid w:val="6C4F24CE"/>
    <w:rsid w:val="6C6A437D"/>
    <w:rsid w:val="6E2B6F5D"/>
    <w:rsid w:val="6E4A39C3"/>
    <w:rsid w:val="6E53686F"/>
    <w:rsid w:val="6EF83204"/>
    <w:rsid w:val="6F0B557E"/>
    <w:rsid w:val="6FAF6AAB"/>
    <w:rsid w:val="6FC854FA"/>
    <w:rsid w:val="6FEF31C1"/>
    <w:rsid w:val="70105C1A"/>
    <w:rsid w:val="703C014D"/>
    <w:rsid w:val="704C2C96"/>
    <w:rsid w:val="70D13537"/>
    <w:rsid w:val="71A566B9"/>
    <w:rsid w:val="72AE59DF"/>
    <w:rsid w:val="733F6848"/>
    <w:rsid w:val="73BE7A0F"/>
    <w:rsid w:val="743957DE"/>
    <w:rsid w:val="7445616E"/>
    <w:rsid w:val="748603E1"/>
    <w:rsid w:val="748A492B"/>
    <w:rsid w:val="74A2329C"/>
    <w:rsid w:val="74AE5E6A"/>
    <w:rsid w:val="74DD2D7C"/>
    <w:rsid w:val="75066C07"/>
    <w:rsid w:val="75070335"/>
    <w:rsid w:val="751662E2"/>
    <w:rsid w:val="75AF3192"/>
    <w:rsid w:val="765E152C"/>
    <w:rsid w:val="766C7C43"/>
    <w:rsid w:val="76C05D43"/>
    <w:rsid w:val="7727431E"/>
    <w:rsid w:val="77FC0FFD"/>
    <w:rsid w:val="79A123C7"/>
    <w:rsid w:val="79DF2984"/>
    <w:rsid w:val="7B61746D"/>
    <w:rsid w:val="7B6C46EB"/>
    <w:rsid w:val="7B9B713D"/>
    <w:rsid w:val="7BC3674E"/>
    <w:rsid w:val="7C5D15C2"/>
    <w:rsid w:val="7D5346CC"/>
    <w:rsid w:val="7DE71E07"/>
    <w:rsid w:val="7E0410E1"/>
    <w:rsid w:val="7EC0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宋体"/>
      <w:b/>
      <w:kern w:val="44"/>
      <w:sz w:val="2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rFonts w:eastAsia="宋体"/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outlineLvl w:val="3"/>
    </w:pPr>
    <w:rPr>
      <w:rFonts w:hint="eastAsia" w:ascii="宋体" w:hAnsi="宋体" w:eastAsia="宋体" w:cs="Times New Roman"/>
      <w:b/>
      <w:bCs/>
      <w:sz w:val="24"/>
      <w:szCs w:val="24"/>
      <w:lang w:eastAsia="zh-CN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6"/>
    <w:qFormat/>
    <w:uiPriority w:val="0"/>
  </w:style>
  <w:style w:type="paragraph" w:styleId="7">
    <w:name w:val="Body Text"/>
    <w:basedOn w:val="1"/>
    <w:qFormat/>
    <w:uiPriority w:val="0"/>
  </w:style>
  <w:style w:type="paragraph" w:styleId="8">
    <w:name w:val="Body Text Indent"/>
    <w:basedOn w:val="1"/>
    <w:qFormat/>
    <w:uiPriority w:val="99"/>
    <w:pPr>
      <w:spacing w:after="120"/>
      <w:ind w:left="420" w:leftChars="200"/>
    </w:pPr>
  </w:style>
  <w:style w:type="paragraph" w:styleId="9">
    <w:name w:val="toc 3"/>
    <w:basedOn w:val="1"/>
    <w:next w:val="1"/>
    <w:qFormat/>
    <w:uiPriority w:val="0"/>
    <w:pPr>
      <w:ind w:left="840" w:leftChars="400"/>
    </w:pPr>
    <w:rPr>
      <w:rFonts w:eastAsia="宋体"/>
      <w:sz w:val="24"/>
    </w:rPr>
  </w:style>
  <w:style w:type="paragraph" w:styleId="10">
    <w:name w:val="Balloon Text"/>
    <w:basedOn w:val="1"/>
    <w:link w:val="38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toc 1"/>
    <w:basedOn w:val="1"/>
    <w:next w:val="1"/>
    <w:qFormat/>
    <w:uiPriority w:val="0"/>
    <w:rPr>
      <w:rFonts w:eastAsia="宋体"/>
      <w:sz w:val="28"/>
    </w:rPr>
  </w:style>
  <w:style w:type="paragraph" w:styleId="14">
    <w:name w:val="toc 2"/>
    <w:basedOn w:val="1"/>
    <w:next w:val="1"/>
    <w:qFormat/>
    <w:uiPriority w:val="0"/>
    <w:pPr>
      <w:ind w:left="420" w:leftChars="200"/>
    </w:pPr>
    <w:rPr>
      <w:rFonts w:eastAsia="宋体"/>
      <w:sz w:val="28"/>
    </w:rPr>
  </w:style>
  <w:style w:type="paragraph" w:styleId="15">
    <w:name w:val="Normal (Web)"/>
    <w:basedOn w:val="1"/>
    <w:qFormat/>
    <w:uiPriority w:val="99"/>
    <w:pPr>
      <w:spacing w:beforeAutospacing="1" w:afterAutospacing="1"/>
    </w:pPr>
    <w:rPr>
      <w:rFonts w:cs="Times New Roman"/>
      <w:sz w:val="24"/>
      <w:lang w:eastAsia="zh-CN"/>
    </w:rPr>
  </w:style>
  <w:style w:type="paragraph" w:styleId="16">
    <w:name w:val="annotation subject"/>
    <w:basedOn w:val="6"/>
    <w:next w:val="6"/>
    <w:link w:val="37"/>
    <w:qFormat/>
    <w:uiPriority w:val="0"/>
    <w:rPr>
      <w:b/>
      <w:bCs/>
    </w:rPr>
  </w:style>
  <w:style w:type="paragraph" w:styleId="17">
    <w:name w:val="Body Text First Indent 2"/>
    <w:basedOn w:val="8"/>
    <w:qFormat/>
    <w:uiPriority w:val="99"/>
    <w:pPr>
      <w:ind w:firstLine="42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Emphasis"/>
    <w:basedOn w:val="20"/>
    <w:qFormat/>
    <w:uiPriority w:val="0"/>
    <w:rPr>
      <w:i/>
    </w:rPr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character" w:styleId="24">
    <w:name w:val="annotation reference"/>
    <w:basedOn w:val="20"/>
    <w:qFormat/>
    <w:uiPriority w:val="0"/>
    <w:rPr>
      <w:sz w:val="21"/>
      <w:szCs w:val="21"/>
    </w:rPr>
  </w:style>
  <w:style w:type="character" w:customStyle="1" w:styleId="25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6">
    <w:name w:val="font2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101"/>
    <w:basedOn w:val="2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8">
    <w:name w:val="font91"/>
    <w:basedOn w:val="2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9">
    <w:name w:val="font8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0">
    <w:name w:val="font4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font141"/>
    <w:basedOn w:val="20"/>
    <w:qFormat/>
    <w:uiPriority w:val="0"/>
    <w:rPr>
      <w:rFonts w:hint="eastAsia" w:ascii="宋体" w:hAnsi="宋体" w:eastAsia="宋体" w:cs="宋体"/>
      <w:strike/>
      <w:color w:val="000000"/>
      <w:sz w:val="18"/>
      <w:szCs w:val="18"/>
    </w:rPr>
  </w:style>
  <w:style w:type="paragraph" w:customStyle="1" w:styleId="3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33">
    <w:name w:val="font61"/>
    <w:basedOn w:val="2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34">
    <w:name w:val="font31"/>
    <w:basedOn w:val="2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5">
    <w:name w:val="font51"/>
    <w:basedOn w:val="20"/>
    <w:qFormat/>
    <w:uiPriority w:val="0"/>
    <w:rPr>
      <w:rFonts w:hint="eastAsia" w:ascii="宋体" w:hAnsi="宋体" w:eastAsia="宋体" w:cs="宋体"/>
      <w:color w:val="C00000"/>
      <w:sz w:val="18"/>
      <w:szCs w:val="18"/>
      <w:u w:val="none"/>
    </w:rPr>
  </w:style>
  <w:style w:type="character" w:customStyle="1" w:styleId="36">
    <w:name w:val="批注文字 字符"/>
    <w:basedOn w:val="20"/>
    <w:link w:val="6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37">
    <w:name w:val="批注主题 字符"/>
    <w:basedOn w:val="36"/>
    <w:link w:val="16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character" w:customStyle="1" w:styleId="38">
    <w:name w:val="批注框文本 字符"/>
    <w:basedOn w:val="20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2.png"/><Relationship Id="rId2" Type="http://schemas.openxmlformats.org/officeDocument/2006/relationships/settings" Target="settings.xml"/><Relationship Id="rId19" Type="http://schemas.openxmlformats.org/officeDocument/2006/relationships/image" Target="media/image1.png"/><Relationship Id="rId18" Type="http://schemas.openxmlformats.org/officeDocument/2006/relationships/theme" Target="theme/theme1.xml"/><Relationship Id="rId17" Type="http://schemas.openxmlformats.org/officeDocument/2006/relationships/footer" Target="footer8.xml"/><Relationship Id="rId16" Type="http://schemas.openxmlformats.org/officeDocument/2006/relationships/footer" Target="footer7.xml"/><Relationship Id="rId15" Type="http://schemas.openxmlformats.org/officeDocument/2006/relationships/footer" Target="footer6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01BFEC-FC55-4C01-929F-7E736C74C9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87</Pages>
  <Words>2168</Words>
  <Characters>2626</Characters>
  <Lines>338</Lines>
  <Paragraphs>95</Paragraphs>
  <TotalTime>53</TotalTime>
  <ScaleCrop>false</ScaleCrop>
  <LinksUpToDate>false</LinksUpToDate>
  <CharactersWithSpaces>2823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2024-10-31T01:46:00Z</dcterms:created>
  <dc:creator>啊雅✨</dc:creator>
  <cp:lastModifiedBy>王姬氏</cp:lastModifiedBy>
  <cp:lastPrinted>2025-01-23T02:53:00Z</cp:lastPrinted>
  <dcterms:modified xsi:type="dcterms:W3CDTF">2025-03-28T03:00:13Z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433D2159254242C292BAF5BBB9A84ADB_13</vt:lpwstr>
  </property>
  <property fmtid="{D5CDD505-2E9C-101B-9397-08002B2CF9AE}" pid="4" name="KSOTemplateDocerSaveRecord">
    <vt:lpwstr>eyJoZGlkIjoiY2EzMjMzZDlhN2E4NmFjOWQ4ODUzZDUwYjM2NDE3NmQiLCJ1c2VySWQiOiIyNTQ3MTM1MjUifQ==</vt:lpwstr>
  </property>
</Properties>
</file>